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66937" w14:textId="77777777" w:rsidR="007E3D5F" w:rsidRDefault="007E3D5F">
      <w:pPr>
        <w:pStyle w:val="Heading1"/>
        <w:spacing w:before="120" w:after="120"/>
        <w:ind w:left="357" w:hanging="357"/>
        <w:jc w:val="center"/>
      </w:pPr>
      <w:r>
        <w:rPr>
          <w:rFonts w:ascii="Arial" w:hAnsi="Arial" w:cs="Arial"/>
          <w:caps/>
          <w:sz w:val="28"/>
          <w:u w:val="none"/>
        </w:rPr>
        <w:t>DATA PROCESSING AGREEMENT</w:t>
      </w:r>
    </w:p>
    <w:p w14:paraId="138F316F" w14:textId="77777777" w:rsidR="007E3D5F" w:rsidRPr="0006378C" w:rsidRDefault="007E3D5F">
      <w:pPr>
        <w:jc w:val="both"/>
        <w:rPr>
          <w:lang w:val="en-US"/>
        </w:rPr>
      </w:pPr>
      <w:r>
        <w:rPr>
          <w:rFonts w:ascii="Arial" w:hAnsi="Arial" w:cs="Arial"/>
          <w:sz w:val="20"/>
          <w:szCs w:val="20"/>
          <w:lang w:val="en-GB"/>
        </w:rPr>
        <w:t>This DPA is entered into between the Controller and the Processor and is incorporated into and governed by the terms of the Agreement.</w:t>
      </w:r>
    </w:p>
    <w:p w14:paraId="7768299E" w14:textId="77777777" w:rsidR="007E3D5F" w:rsidRDefault="007E3D5F">
      <w:pPr>
        <w:jc w:val="both"/>
        <w:rPr>
          <w:rFonts w:ascii="Arial" w:hAnsi="Arial" w:cs="Arial"/>
          <w:sz w:val="20"/>
          <w:szCs w:val="20"/>
          <w:lang w:val="en-GB"/>
        </w:rPr>
      </w:pPr>
    </w:p>
    <w:p w14:paraId="72117860"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Definitions</w:t>
      </w:r>
    </w:p>
    <w:p w14:paraId="2343DCF5" w14:textId="77777777" w:rsidR="007E3D5F" w:rsidRDefault="007E3D5F">
      <w:pPr>
        <w:pStyle w:val="FarbigeListe-Akzent11"/>
        <w:spacing w:after="120"/>
        <w:ind w:left="0"/>
        <w:jc w:val="both"/>
      </w:pPr>
      <w:r>
        <w:rPr>
          <w:rFonts w:ascii="Arial" w:hAnsi="Arial" w:cs="Arial"/>
          <w:sz w:val="20"/>
          <w:szCs w:val="20"/>
          <w:lang w:val="en-GB"/>
        </w:rPr>
        <w:t>Any capitalised term not defined in this DPA shall have the meaning given to it in</w:t>
      </w:r>
      <w:r>
        <w:t xml:space="preserve"> the Agreement.</w:t>
      </w:r>
    </w:p>
    <w:tbl>
      <w:tblPr>
        <w:tblW w:w="0" w:type="auto"/>
        <w:tblInd w:w="108" w:type="dxa"/>
        <w:tblLayout w:type="fixed"/>
        <w:tblLook w:val="0000" w:firstRow="0" w:lastRow="0" w:firstColumn="0" w:lastColumn="0" w:noHBand="0" w:noVBand="0"/>
      </w:tblPr>
      <w:tblGrid>
        <w:gridCol w:w="2693"/>
        <w:gridCol w:w="6379"/>
      </w:tblGrid>
      <w:tr w:rsidR="007E3D5F" w14:paraId="44953B5F" w14:textId="77777777">
        <w:tc>
          <w:tcPr>
            <w:tcW w:w="2693" w:type="dxa"/>
            <w:shd w:val="clear" w:color="auto" w:fill="auto"/>
          </w:tcPr>
          <w:p w14:paraId="7D8073FF"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w:t>
            </w:r>
            <w:r>
              <w:rPr>
                <w:rFonts w:ascii="Arial" w:hAnsi="Arial" w:cs="Arial"/>
                <w:b/>
                <w:sz w:val="20"/>
                <w:szCs w:val="20"/>
                <w:lang w:val="en-GB"/>
              </w:rPr>
              <w:t>Affiliate</w:t>
            </w:r>
            <w:r>
              <w:rPr>
                <w:rFonts w:ascii="Arial" w:hAnsi="Arial" w:cs="Arial"/>
                <w:sz w:val="20"/>
                <w:szCs w:val="20"/>
                <w:lang w:val="en-GB"/>
              </w:rPr>
              <w:t>”</w:t>
            </w:r>
          </w:p>
        </w:tc>
        <w:tc>
          <w:tcPr>
            <w:tcW w:w="6379" w:type="dxa"/>
            <w:shd w:val="clear" w:color="auto" w:fill="auto"/>
          </w:tcPr>
          <w:p w14:paraId="43EF0B67" w14:textId="77777777" w:rsidR="007E3D5F" w:rsidRDefault="007E3D5F">
            <w:pPr>
              <w:pStyle w:val="FarbigeListe-Akzent11"/>
              <w:tabs>
                <w:tab w:val="left" w:pos="709"/>
              </w:tabs>
              <w:spacing w:after="120" w:line="240" w:lineRule="auto"/>
              <w:ind w:left="-107"/>
              <w:jc w:val="both"/>
            </w:pPr>
            <w:r>
              <w:rPr>
                <w:rFonts w:ascii="Arial" w:hAnsi="Arial" w:cs="Arial"/>
                <w:sz w:val="20"/>
                <w:szCs w:val="20"/>
                <w:lang w:val="en-GB"/>
              </w:rPr>
              <w:t xml:space="preserve">means any entity that directly or indirectly controls, is controlled by, or is under common control of a party. “Control,” for purposes of this definition, means direct or indirect ownership or control of more than 50% of the voting interests of a party; </w:t>
            </w:r>
          </w:p>
        </w:tc>
      </w:tr>
      <w:tr w:rsidR="007E3D5F" w14:paraId="3CAB5204" w14:textId="77777777">
        <w:tc>
          <w:tcPr>
            <w:tcW w:w="2693" w:type="dxa"/>
            <w:shd w:val="clear" w:color="auto" w:fill="auto"/>
          </w:tcPr>
          <w:p w14:paraId="2C1373E5"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“Agreement”</w:t>
            </w:r>
          </w:p>
        </w:tc>
        <w:tc>
          <w:tcPr>
            <w:tcW w:w="6379" w:type="dxa"/>
            <w:shd w:val="clear" w:color="auto" w:fill="auto"/>
          </w:tcPr>
          <w:p w14:paraId="0151DD81" w14:textId="77777777" w:rsidR="007E3D5F" w:rsidRDefault="007E3D5F">
            <w:pPr>
              <w:pStyle w:val="FarbigeListe-Akzent11"/>
              <w:tabs>
                <w:tab w:val="left" w:pos="709"/>
              </w:tabs>
              <w:spacing w:after="120" w:line="240" w:lineRule="auto"/>
              <w:ind w:left="-107"/>
              <w:jc w:val="both"/>
            </w:pPr>
            <w:r>
              <w:rPr>
                <w:rFonts w:ascii="Arial" w:hAnsi="Arial" w:cs="Arial"/>
                <w:sz w:val="20"/>
                <w:szCs w:val="20"/>
                <w:lang w:val="en-GB"/>
              </w:rPr>
              <w:t>means the agreement between the Controller and the Processor for the provision of the Services;</w:t>
            </w:r>
          </w:p>
        </w:tc>
      </w:tr>
      <w:tr w:rsidR="007E3D5F" w14:paraId="1B2D6857" w14:textId="77777777">
        <w:tc>
          <w:tcPr>
            <w:tcW w:w="2693" w:type="dxa"/>
            <w:shd w:val="clear" w:color="auto" w:fill="auto"/>
          </w:tcPr>
          <w:p w14:paraId="1376271E"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“CCPA”</w:t>
            </w:r>
          </w:p>
        </w:tc>
        <w:tc>
          <w:tcPr>
            <w:tcW w:w="6379" w:type="dxa"/>
            <w:shd w:val="clear" w:color="auto" w:fill="auto"/>
          </w:tcPr>
          <w:p w14:paraId="36C769AA" w14:textId="77777777" w:rsidR="007E3D5F" w:rsidRDefault="007E3D5F">
            <w:pPr>
              <w:pStyle w:val="FarbigeListe-Akzent11"/>
              <w:tabs>
                <w:tab w:val="left" w:pos="709"/>
              </w:tabs>
              <w:spacing w:after="120" w:line="240" w:lineRule="auto"/>
              <w:ind w:left="-107"/>
              <w:jc w:val="both"/>
            </w:pPr>
            <w:r>
              <w:rPr>
                <w:rFonts w:ascii="Arial" w:hAnsi="Arial" w:cs="Arial"/>
                <w:sz w:val="20"/>
                <w:szCs w:val="20"/>
                <w:lang w:val="en-GB"/>
              </w:rPr>
              <w:t>means the California Consumer Privacy Act of 2018, along with its regulations and as amended from time to time;</w:t>
            </w:r>
          </w:p>
        </w:tc>
      </w:tr>
      <w:tr w:rsidR="007E3D5F" w14:paraId="2AB32297" w14:textId="77777777">
        <w:tc>
          <w:tcPr>
            <w:tcW w:w="2693" w:type="dxa"/>
            <w:shd w:val="clear" w:color="auto" w:fill="auto"/>
          </w:tcPr>
          <w:p w14:paraId="38089352" w14:textId="77777777" w:rsidR="007E3D5F" w:rsidRDefault="007E3D5F">
            <w:pPr>
              <w:pStyle w:val="FarbigeListe-Akzent11"/>
              <w:tabs>
                <w:tab w:val="left" w:pos="709"/>
              </w:tabs>
              <w:spacing w:after="120" w:line="240" w:lineRule="auto"/>
              <w:ind w:left="-108"/>
            </w:pPr>
            <w:r>
              <w:rPr>
                <w:rFonts w:ascii="Arial" w:hAnsi="Arial" w:cs="Arial"/>
                <w:b/>
                <w:sz w:val="20"/>
                <w:szCs w:val="20"/>
                <w:lang w:val="en-GB"/>
              </w:rPr>
              <w:t>“Controller”</w:t>
            </w:r>
          </w:p>
        </w:tc>
        <w:tc>
          <w:tcPr>
            <w:tcW w:w="6379" w:type="dxa"/>
            <w:shd w:val="clear" w:color="auto" w:fill="auto"/>
          </w:tcPr>
          <w:p w14:paraId="3C086FBB"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the Customer;</w:t>
            </w:r>
          </w:p>
        </w:tc>
      </w:tr>
      <w:tr w:rsidR="007E3D5F" w14:paraId="04263DAC" w14:textId="77777777">
        <w:tc>
          <w:tcPr>
            <w:tcW w:w="2693" w:type="dxa"/>
            <w:shd w:val="clear" w:color="auto" w:fill="auto"/>
          </w:tcPr>
          <w:p w14:paraId="3542C389" w14:textId="77777777" w:rsidR="007E3D5F" w:rsidRDefault="007E3D5F">
            <w:pPr>
              <w:pStyle w:val="FarbigeListe-Akzent11"/>
              <w:tabs>
                <w:tab w:val="left" w:pos="709"/>
              </w:tabs>
              <w:spacing w:after="120" w:line="240" w:lineRule="auto"/>
              <w:ind w:left="-108"/>
            </w:pPr>
            <w:r>
              <w:rPr>
                <w:rFonts w:ascii="Arial" w:hAnsi="Arial" w:cs="Arial"/>
                <w:b/>
                <w:sz w:val="20"/>
                <w:szCs w:val="20"/>
                <w:lang w:val="en-GB"/>
              </w:rPr>
              <w:t>“Data Protection Law”</w:t>
            </w:r>
          </w:p>
        </w:tc>
        <w:tc>
          <w:tcPr>
            <w:tcW w:w="6379" w:type="dxa"/>
            <w:shd w:val="clear" w:color="auto" w:fill="auto"/>
          </w:tcPr>
          <w:p w14:paraId="5D543FF3"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all laws and regulations, including laws and regulations of the European Union, the European Economic Area, their member states and the United Kingdom any amendments, replacements or renewals thereof, applicable to the processing of Personal Data, including where applicable the Data Protection, Privacy and Electronic Communications (Amendments etc.) (EU Exit) Regulations 2020, the EU GDPR, the UK GDPR, the FDPA, the UK Data Protection Act 2018, the CCPA and any applicable national implementing laws, regulations and secondary legislation relating to the processing of the Personal Data and the privacy of electronic communications, as amended, replaced or updated from time to time, including the Privacy and Electronic Communications Directive (2002/58/EC) and the Privacy and Electronic Communications (EC Directive) Regulations 2003 (SI 2003/2426)</w:t>
            </w:r>
            <w:r>
              <w:rPr>
                <w:rFonts w:ascii="Arial" w:hAnsi="Arial" w:cs="Arial"/>
                <w:sz w:val="20"/>
                <w:lang w:val="en-GB"/>
              </w:rPr>
              <w:t>;</w:t>
            </w:r>
          </w:p>
        </w:tc>
      </w:tr>
      <w:tr w:rsidR="007E3D5F" w14:paraId="3FEFBC38" w14:textId="77777777">
        <w:tc>
          <w:tcPr>
            <w:tcW w:w="2693" w:type="dxa"/>
            <w:shd w:val="clear" w:color="auto" w:fill="auto"/>
          </w:tcPr>
          <w:p w14:paraId="4A18B4A5"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“Data Subject”</w:t>
            </w:r>
          </w:p>
        </w:tc>
        <w:tc>
          <w:tcPr>
            <w:tcW w:w="6379" w:type="dxa"/>
            <w:shd w:val="clear" w:color="auto" w:fill="auto"/>
          </w:tcPr>
          <w:p w14:paraId="30D6EA85"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shall have the same meaning as in Data Protection Law or means a “Consumer” as that term is defined in the CCPA;</w:t>
            </w:r>
          </w:p>
        </w:tc>
      </w:tr>
      <w:tr w:rsidR="007E3D5F" w14:paraId="055128BF" w14:textId="77777777">
        <w:tc>
          <w:tcPr>
            <w:tcW w:w="2693" w:type="dxa"/>
            <w:shd w:val="clear" w:color="auto" w:fill="auto"/>
          </w:tcPr>
          <w:p w14:paraId="6B148A41"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“DPA”</w:t>
            </w:r>
          </w:p>
        </w:tc>
        <w:tc>
          <w:tcPr>
            <w:tcW w:w="6379" w:type="dxa"/>
            <w:shd w:val="clear" w:color="auto" w:fill="auto"/>
          </w:tcPr>
          <w:p w14:paraId="0E08DE9F"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this data processing agreement together with Exhibits A</w:t>
            </w:r>
            <w:r w:rsidR="0006378C">
              <w:rPr>
                <w:rFonts w:ascii="Arial" w:hAnsi="Arial" w:cs="Arial"/>
                <w:sz w:val="20"/>
                <w:szCs w:val="20"/>
                <w:lang w:val="en-GB"/>
              </w:rPr>
              <w:t xml:space="preserve">, </w:t>
            </w:r>
            <w:r>
              <w:rPr>
                <w:rFonts w:ascii="Arial" w:hAnsi="Arial" w:cs="Arial"/>
                <w:sz w:val="20"/>
                <w:szCs w:val="20"/>
                <w:lang w:val="en-GB"/>
              </w:rPr>
              <w:t>B</w:t>
            </w:r>
            <w:r w:rsidR="0006378C">
              <w:rPr>
                <w:rFonts w:ascii="Arial" w:hAnsi="Arial" w:cs="Arial"/>
                <w:sz w:val="20"/>
                <w:szCs w:val="20"/>
                <w:lang w:val="en-GB"/>
              </w:rPr>
              <w:t xml:space="preserve"> and C</w:t>
            </w:r>
            <w:r>
              <w:rPr>
                <w:rFonts w:ascii="Arial" w:hAnsi="Arial" w:cs="Arial"/>
                <w:sz w:val="20"/>
                <w:szCs w:val="20"/>
                <w:lang w:val="en-GB"/>
              </w:rPr>
              <w:t>;</w:t>
            </w:r>
          </w:p>
        </w:tc>
      </w:tr>
      <w:tr w:rsidR="007E3D5F" w14:paraId="3B7EF9A0" w14:textId="77777777">
        <w:tc>
          <w:tcPr>
            <w:tcW w:w="2693" w:type="dxa"/>
            <w:shd w:val="clear" w:color="auto" w:fill="auto"/>
          </w:tcPr>
          <w:p w14:paraId="1594D698"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“EEA”</w:t>
            </w:r>
          </w:p>
        </w:tc>
        <w:tc>
          <w:tcPr>
            <w:tcW w:w="6379" w:type="dxa"/>
            <w:shd w:val="clear" w:color="auto" w:fill="auto"/>
          </w:tcPr>
          <w:p w14:paraId="09F94955"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the European Economic Area;</w:t>
            </w:r>
          </w:p>
        </w:tc>
      </w:tr>
      <w:tr w:rsidR="007E3D5F" w14:paraId="6955F9EF" w14:textId="77777777">
        <w:tc>
          <w:tcPr>
            <w:tcW w:w="2693" w:type="dxa"/>
            <w:shd w:val="clear" w:color="auto" w:fill="auto"/>
          </w:tcPr>
          <w:p w14:paraId="113B4E5D"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“EU GDPR”</w:t>
            </w:r>
          </w:p>
        </w:tc>
        <w:tc>
          <w:tcPr>
            <w:tcW w:w="6379" w:type="dxa"/>
            <w:shd w:val="clear" w:color="auto" w:fill="auto"/>
          </w:tcPr>
          <w:p w14:paraId="2B39F418" w14:textId="77777777" w:rsidR="007E3D5F" w:rsidRDefault="007E3D5F">
            <w:pPr>
              <w:pStyle w:val="FarbigeListe-Akzent11"/>
              <w:tabs>
                <w:tab w:val="left" w:pos="709"/>
              </w:tabs>
              <w:spacing w:after="120" w:line="240" w:lineRule="auto"/>
              <w:ind w:left="-108"/>
              <w:jc w:val="both"/>
            </w:pPr>
            <w:r>
              <w:rPr>
                <w:rFonts w:ascii="Arial" w:hAnsi="Arial" w:cs="Arial"/>
                <w:sz w:val="20"/>
                <w:lang w:val="en-GB"/>
              </w:rPr>
              <w:t xml:space="preserve">means </w:t>
            </w:r>
            <w:r>
              <w:rPr>
                <w:rFonts w:ascii="Arial" w:hAnsi="Arial" w:cs="Arial"/>
                <w:bCs/>
                <w:sz w:val="20"/>
                <w:lang w:val="en-GB"/>
              </w:rPr>
              <w:t>Regulation (EU) 2016/679 of the European Parliament and of the Council of 27 April 2016 on the protection of natural persons with regard to the processing of personal data and on the free movement of such data, (General Data Protection Regulation);</w:t>
            </w:r>
          </w:p>
        </w:tc>
      </w:tr>
      <w:tr w:rsidR="007E3D5F" w14:paraId="0678B6F1" w14:textId="77777777">
        <w:tc>
          <w:tcPr>
            <w:tcW w:w="2693" w:type="dxa"/>
            <w:shd w:val="clear" w:color="auto" w:fill="auto"/>
          </w:tcPr>
          <w:p w14:paraId="22622F07"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“FDPA”</w:t>
            </w:r>
          </w:p>
        </w:tc>
        <w:tc>
          <w:tcPr>
            <w:tcW w:w="6379" w:type="dxa"/>
            <w:shd w:val="clear" w:color="auto" w:fill="auto"/>
          </w:tcPr>
          <w:p w14:paraId="2BB2D3EB" w14:textId="77777777" w:rsidR="007E3D5F" w:rsidRDefault="007E3D5F">
            <w:pPr>
              <w:pStyle w:val="FarbigeListe-Akzent11"/>
              <w:tabs>
                <w:tab w:val="left" w:pos="709"/>
              </w:tabs>
              <w:spacing w:after="120" w:line="240" w:lineRule="auto"/>
              <w:ind w:left="-108"/>
              <w:jc w:val="both"/>
            </w:pPr>
            <w:r>
              <w:rPr>
                <w:rFonts w:ascii="Arial" w:hAnsi="Arial" w:cs="Arial"/>
                <w:sz w:val="20"/>
                <w:lang w:val="en-GB"/>
              </w:rPr>
              <w:t xml:space="preserve">means the Swiss </w:t>
            </w:r>
            <w:r>
              <w:rPr>
                <w:rFonts w:ascii="Arial" w:hAnsi="Arial" w:cs="Arial"/>
                <w:sz w:val="20"/>
                <w:lang w:val="en-US"/>
              </w:rPr>
              <w:t>Federal Act on Data Protection of 19 June 1992 (SR 235.1; FDPA) and as amended from time to time;</w:t>
            </w:r>
          </w:p>
        </w:tc>
      </w:tr>
      <w:tr w:rsidR="007E3D5F" w14:paraId="6AE3B135" w14:textId="77777777">
        <w:tc>
          <w:tcPr>
            <w:tcW w:w="2693" w:type="dxa"/>
            <w:shd w:val="clear" w:color="auto" w:fill="auto"/>
          </w:tcPr>
          <w:p w14:paraId="600EE37C"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“Personal Data”</w:t>
            </w:r>
          </w:p>
        </w:tc>
        <w:tc>
          <w:tcPr>
            <w:tcW w:w="6379" w:type="dxa"/>
            <w:shd w:val="clear" w:color="auto" w:fill="auto"/>
          </w:tcPr>
          <w:p w14:paraId="363A0522"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shall have the same meaning as in Data Protection Law;</w:t>
            </w:r>
          </w:p>
        </w:tc>
      </w:tr>
      <w:tr w:rsidR="007E3D5F" w14:paraId="72FBE2A2" w14:textId="77777777">
        <w:tc>
          <w:tcPr>
            <w:tcW w:w="2693" w:type="dxa"/>
            <w:shd w:val="clear" w:color="auto" w:fill="auto"/>
          </w:tcPr>
          <w:p w14:paraId="3C121F83"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“Processor”</w:t>
            </w:r>
          </w:p>
        </w:tc>
        <w:tc>
          <w:tcPr>
            <w:tcW w:w="6379" w:type="dxa"/>
            <w:shd w:val="clear" w:color="auto" w:fill="auto"/>
          </w:tcPr>
          <w:p w14:paraId="1E4FB5BD"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the Company, including as applicable any “Service Provider” as that term is defined by the CCPA;</w:t>
            </w:r>
          </w:p>
        </w:tc>
      </w:tr>
      <w:tr w:rsidR="007E3D5F" w14:paraId="4AC53ADE" w14:textId="77777777">
        <w:tc>
          <w:tcPr>
            <w:tcW w:w="2693" w:type="dxa"/>
            <w:shd w:val="clear" w:color="auto" w:fill="auto"/>
          </w:tcPr>
          <w:p w14:paraId="44324BED"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t>“Restricted Transfer”</w:t>
            </w:r>
          </w:p>
        </w:tc>
        <w:tc>
          <w:tcPr>
            <w:tcW w:w="6379" w:type="dxa"/>
            <w:shd w:val="clear" w:color="auto" w:fill="auto"/>
          </w:tcPr>
          <w:p w14:paraId="58978C4D"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 xml:space="preserve">means: </w:t>
            </w:r>
          </w:p>
          <w:p w14:paraId="48EE5192"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w:t>
            </w:r>
            <w:proofErr w:type="spellStart"/>
            <w:r>
              <w:rPr>
                <w:rFonts w:ascii="Arial" w:hAnsi="Arial" w:cs="Arial"/>
                <w:sz w:val="20"/>
                <w:szCs w:val="20"/>
                <w:lang w:val="en-GB"/>
              </w:rPr>
              <w:t>i</w:t>
            </w:r>
            <w:proofErr w:type="spellEnd"/>
            <w:r>
              <w:rPr>
                <w:rFonts w:ascii="Arial" w:hAnsi="Arial" w:cs="Arial"/>
                <w:sz w:val="20"/>
                <w:szCs w:val="20"/>
                <w:lang w:val="en-GB"/>
              </w:rPr>
              <w:t>) where the EU GDPR applies, a transfer of Personal Data via the Services from the EEA either directly or via onward transfer, to any country or recipient outside of the EEA not subject to an adequacy determination by the European Commission; and</w:t>
            </w:r>
          </w:p>
          <w:p w14:paraId="79BC2195"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 xml:space="preserve">(ii) where the UK GDPR applies, a transfer of Personal Data via the Services from the United Kingdom either directly or via onward transfer, to any country or recipient outside of the UK not based on adequacy regulations pursuant to Section 17A of the United Kingdom </w:t>
            </w:r>
            <w:r>
              <w:rPr>
                <w:rFonts w:ascii="Arial" w:hAnsi="Arial" w:cs="Arial"/>
                <w:sz w:val="20"/>
                <w:szCs w:val="20"/>
                <w:lang w:val="en-GB"/>
              </w:rPr>
              <w:lastRenderedPageBreak/>
              <w:t xml:space="preserve">Data Protection Act 2018; and </w:t>
            </w:r>
          </w:p>
          <w:p w14:paraId="41613F46"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(iii) a transfer of Personal Data via the Services from Switzerland either directly or via onward transfer, to any country or recipient outside of the EEA and/or Switzerland not subject to an adequacy determination by the European Commission;</w:t>
            </w:r>
          </w:p>
        </w:tc>
      </w:tr>
      <w:tr w:rsidR="007E3D5F" w14:paraId="3ECEC892" w14:textId="77777777">
        <w:tc>
          <w:tcPr>
            <w:tcW w:w="2693" w:type="dxa"/>
            <w:shd w:val="clear" w:color="auto" w:fill="auto"/>
          </w:tcPr>
          <w:p w14:paraId="0B7039B5" w14:textId="77777777" w:rsidR="007E3D5F" w:rsidRDefault="007E3D5F">
            <w:pPr>
              <w:pStyle w:val="FarbigeListe-Akzent11"/>
              <w:tabs>
                <w:tab w:val="left" w:pos="709"/>
              </w:tabs>
              <w:spacing w:after="120" w:line="240" w:lineRule="auto"/>
              <w:ind w:left="-108"/>
              <w:jc w:val="both"/>
            </w:pPr>
            <w:r>
              <w:rPr>
                <w:rFonts w:ascii="Arial" w:hAnsi="Arial" w:cs="Arial"/>
                <w:b/>
                <w:sz w:val="20"/>
                <w:szCs w:val="20"/>
                <w:lang w:val="en-GB"/>
              </w:rPr>
              <w:lastRenderedPageBreak/>
              <w:t>“Services”</w:t>
            </w:r>
          </w:p>
        </w:tc>
        <w:tc>
          <w:tcPr>
            <w:tcW w:w="6379" w:type="dxa"/>
            <w:shd w:val="clear" w:color="auto" w:fill="auto"/>
          </w:tcPr>
          <w:p w14:paraId="6B628D2C"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all services and software applications and solutions provided to the Controller by the Processor under and as described in the Agreement;</w:t>
            </w:r>
          </w:p>
        </w:tc>
      </w:tr>
      <w:tr w:rsidR="007E3D5F" w14:paraId="7B9A242B" w14:textId="77777777">
        <w:tc>
          <w:tcPr>
            <w:tcW w:w="2693" w:type="dxa"/>
            <w:shd w:val="clear" w:color="auto" w:fill="auto"/>
          </w:tcPr>
          <w:p w14:paraId="1DF15EFC" w14:textId="77777777" w:rsidR="007E3D5F" w:rsidRDefault="007E3D5F">
            <w:pPr>
              <w:pStyle w:val="FarbigeListe-Akzent11"/>
              <w:tabs>
                <w:tab w:val="left" w:pos="709"/>
              </w:tabs>
              <w:spacing w:after="120" w:line="240" w:lineRule="auto"/>
              <w:ind w:left="-108"/>
            </w:pPr>
            <w:r>
              <w:rPr>
                <w:rFonts w:ascii="Arial" w:hAnsi="Arial" w:cs="Arial"/>
                <w:b/>
                <w:sz w:val="20"/>
                <w:szCs w:val="20"/>
                <w:lang w:val="en-GB"/>
              </w:rPr>
              <w:t>“SCCs”</w:t>
            </w:r>
          </w:p>
        </w:tc>
        <w:tc>
          <w:tcPr>
            <w:tcW w:w="6379" w:type="dxa"/>
            <w:shd w:val="clear" w:color="auto" w:fill="auto"/>
          </w:tcPr>
          <w:p w14:paraId="4FD5AA22" w14:textId="77777777" w:rsidR="007E3D5F" w:rsidRDefault="007E3D5F" w:rsidP="009C19B6">
            <w:pPr>
              <w:pStyle w:val="FarbigeListe-Akzent11"/>
              <w:spacing w:after="120" w:line="240" w:lineRule="auto"/>
              <w:ind w:left="-104"/>
              <w:jc w:val="both"/>
            </w:pPr>
            <w:r>
              <w:rPr>
                <w:rFonts w:ascii="Arial" w:hAnsi="Arial" w:cs="Arial"/>
                <w:sz w:val="20"/>
                <w:szCs w:val="20"/>
                <w:lang w:val="en-GB"/>
              </w:rPr>
              <w:t xml:space="preserve">means: </w:t>
            </w:r>
          </w:p>
          <w:p w14:paraId="52ECCA38" w14:textId="77777777" w:rsidR="007E3D5F" w:rsidRDefault="007E3D5F" w:rsidP="009C19B6">
            <w:pPr>
              <w:pStyle w:val="FarbigeListe-Akzent11"/>
              <w:spacing w:after="120" w:line="240" w:lineRule="auto"/>
              <w:ind w:left="-104"/>
            </w:pPr>
            <w:r>
              <w:rPr>
                <w:rFonts w:ascii="Arial" w:hAnsi="Arial" w:cs="Arial"/>
                <w:sz w:val="20"/>
                <w:szCs w:val="20"/>
                <w:lang w:val="en-GB"/>
              </w:rPr>
              <w:t>(</w:t>
            </w:r>
            <w:proofErr w:type="spellStart"/>
            <w:r>
              <w:rPr>
                <w:rFonts w:ascii="Arial" w:hAnsi="Arial" w:cs="Arial"/>
                <w:sz w:val="20"/>
                <w:szCs w:val="20"/>
                <w:lang w:val="en-GB"/>
              </w:rPr>
              <w:t>i</w:t>
            </w:r>
            <w:proofErr w:type="spellEnd"/>
            <w:r>
              <w:rPr>
                <w:rFonts w:ascii="Arial" w:hAnsi="Arial" w:cs="Arial"/>
                <w:sz w:val="20"/>
                <w:szCs w:val="20"/>
                <w:lang w:val="en-GB"/>
              </w:rPr>
              <w:t>) where the EU GDPR applies, the contractual clauses annexed to the European Commission's Implementing Decision 2021/914 of 4 June 2021 on standard contractual clauses for the transfer of personal data to third countries published at</w:t>
            </w:r>
            <w:r>
              <w:t xml:space="preserve"> </w:t>
            </w:r>
            <w:hyperlink r:id="rId7" w:history="1">
              <w:r>
                <w:rPr>
                  <w:rStyle w:val="Hyperlink"/>
                  <w:rFonts w:ascii="Arial" w:hAnsi="Arial" w:cs="Arial"/>
                  <w:sz w:val="20"/>
                  <w:szCs w:val="20"/>
                  <w:lang w:val="en-GB"/>
                </w:rPr>
                <w:t>https://eur-lex.europa.eu/legal-content/EN/TXT/HTML/?uri=CELEX:32021D0914&amp;from=EN/</w:t>
              </w:r>
            </w:hyperlink>
            <w:r>
              <w:rPr>
                <w:rFonts w:ascii="Arial" w:hAnsi="Arial" w:cs="Arial"/>
                <w:sz w:val="20"/>
                <w:szCs w:val="20"/>
                <w:lang w:val="en-GB"/>
              </w:rPr>
              <w:t>, (“</w:t>
            </w:r>
            <w:r>
              <w:rPr>
                <w:rFonts w:ascii="Arial" w:hAnsi="Arial" w:cs="Arial"/>
                <w:b/>
                <w:bCs/>
                <w:sz w:val="20"/>
                <w:szCs w:val="20"/>
                <w:lang w:val="en-GB"/>
              </w:rPr>
              <w:t>EU SCCs</w:t>
            </w:r>
            <w:r>
              <w:rPr>
                <w:rFonts w:ascii="Arial" w:hAnsi="Arial" w:cs="Arial"/>
                <w:sz w:val="20"/>
                <w:szCs w:val="20"/>
                <w:lang w:val="en-GB"/>
              </w:rPr>
              <w:t xml:space="preserve">”); and </w:t>
            </w:r>
          </w:p>
          <w:p w14:paraId="6116A773" w14:textId="77777777" w:rsidR="007E3D5F" w:rsidRDefault="007E3D5F" w:rsidP="009C19B6">
            <w:pPr>
              <w:pStyle w:val="FarbigeListe-Akzent11"/>
              <w:spacing w:after="120" w:line="240" w:lineRule="auto"/>
              <w:ind w:left="-104"/>
              <w:jc w:val="both"/>
            </w:pPr>
            <w:r>
              <w:rPr>
                <w:rFonts w:ascii="Arial" w:hAnsi="Arial" w:cs="Arial"/>
                <w:sz w:val="20"/>
                <w:szCs w:val="20"/>
                <w:lang w:val="en-GB"/>
              </w:rPr>
              <w:t xml:space="preserve">(ii) where the UK GDPR applies standard data protection clauses adopted pursuant to Article 46(2)(d) of the UK GDPR </w:t>
            </w:r>
            <w:hyperlink r:id="rId8" w:history="1">
              <w:r w:rsidR="0006378C" w:rsidRPr="00DA0F2A">
                <w:rPr>
                  <w:rStyle w:val="Hyperlink"/>
                  <w:rFonts w:ascii="Arial" w:hAnsi="Arial" w:cs="Arial"/>
                  <w:sz w:val="20"/>
                  <w:szCs w:val="20"/>
                  <w:lang w:val="en-GB"/>
                </w:rPr>
                <w:t>as</w:t>
              </w:r>
            </w:hyperlink>
            <w:r w:rsidR="0006378C">
              <w:rPr>
                <w:rFonts w:ascii="Arial" w:hAnsi="Arial" w:cs="Arial"/>
                <w:sz w:val="20"/>
                <w:szCs w:val="20"/>
                <w:lang w:val="en-GB"/>
              </w:rPr>
              <w:t xml:space="preserve"> set out in Exhibit C of this DPA,</w:t>
            </w:r>
            <w:r>
              <w:rPr>
                <w:rFonts w:ascii="Arial" w:hAnsi="Arial" w:cs="Arial"/>
                <w:sz w:val="20"/>
                <w:szCs w:val="20"/>
                <w:lang w:val="en-GB"/>
              </w:rPr>
              <w:t xml:space="preserve"> (“</w:t>
            </w:r>
            <w:r>
              <w:rPr>
                <w:rFonts w:ascii="Arial" w:hAnsi="Arial" w:cs="Arial"/>
                <w:b/>
                <w:bCs/>
                <w:sz w:val="20"/>
                <w:szCs w:val="20"/>
                <w:lang w:val="en-GB"/>
              </w:rPr>
              <w:t>UK SCCs</w:t>
            </w:r>
            <w:r>
              <w:rPr>
                <w:rFonts w:ascii="Arial" w:hAnsi="Arial" w:cs="Arial"/>
                <w:sz w:val="20"/>
                <w:szCs w:val="20"/>
                <w:lang w:val="en-GB"/>
              </w:rPr>
              <w:t xml:space="preserve">”); and </w:t>
            </w:r>
          </w:p>
          <w:p w14:paraId="3D22D034" w14:textId="77777777" w:rsidR="007E3D5F" w:rsidRDefault="007E3D5F" w:rsidP="009C19B6">
            <w:pPr>
              <w:pStyle w:val="FarbigeListe-Akzent11"/>
              <w:spacing w:after="120" w:line="240" w:lineRule="auto"/>
              <w:ind w:left="-104"/>
              <w:jc w:val="both"/>
            </w:pPr>
            <w:r>
              <w:rPr>
                <w:rFonts w:ascii="Arial" w:hAnsi="Arial" w:cs="Arial"/>
                <w:sz w:val="20"/>
                <w:szCs w:val="20"/>
                <w:lang w:val="en-GB"/>
              </w:rPr>
              <w:t>(iii) where Personal Data is transferred from Switzerland to outside of Switzerland or the EEA, the EU SCCs as amended in accordance with guidance from the Swiss Data Protection Authority; (“</w:t>
            </w:r>
            <w:r>
              <w:rPr>
                <w:rFonts w:ascii="Arial" w:hAnsi="Arial" w:cs="Arial"/>
                <w:b/>
                <w:bCs/>
                <w:sz w:val="20"/>
                <w:szCs w:val="20"/>
                <w:lang w:val="en-GB"/>
              </w:rPr>
              <w:t>Swiss SCCs</w:t>
            </w:r>
            <w:r>
              <w:rPr>
                <w:rFonts w:ascii="Arial" w:hAnsi="Arial" w:cs="Arial"/>
                <w:sz w:val="20"/>
                <w:szCs w:val="20"/>
                <w:lang w:val="en-GB"/>
              </w:rPr>
              <w:t>”);</w:t>
            </w:r>
          </w:p>
        </w:tc>
      </w:tr>
      <w:tr w:rsidR="007E3D5F" w14:paraId="1AA4FE50" w14:textId="77777777">
        <w:tc>
          <w:tcPr>
            <w:tcW w:w="2693" w:type="dxa"/>
            <w:shd w:val="clear" w:color="auto" w:fill="auto"/>
          </w:tcPr>
          <w:p w14:paraId="636A782F" w14:textId="77777777" w:rsidR="007E3D5F" w:rsidRDefault="007E3D5F">
            <w:pPr>
              <w:pStyle w:val="FarbigeListe-Akzent11"/>
              <w:tabs>
                <w:tab w:val="left" w:pos="709"/>
              </w:tabs>
              <w:spacing w:after="120" w:line="240" w:lineRule="auto"/>
              <w:ind w:left="-108"/>
            </w:pPr>
            <w:r>
              <w:rPr>
                <w:rFonts w:ascii="Arial" w:hAnsi="Arial" w:cs="Arial"/>
                <w:b/>
                <w:sz w:val="20"/>
                <w:szCs w:val="20"/>
                <w:lang w:val="en-GB"/>
              </w:rPr>
              <w:t>“Sub-processor”</w:t>
            </w:r>
          </w:p>
        </w:tc>
        <w:tc>
          <w:tcPr>
            <w:tcW w:w="6379" w:type="dxa"/>
            <w:shd w:val="clear" w:color="auto" w:fill="auto"/>
          </w:tcPr>
          <w:p w14:paraId="069198F1"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any third party (including Processor Affiliates) engaged directly or indirectly by the Processor to process Personal Data under this DPA in the provision of the Services to the Controller;</w:t>
            </w:r>
          </w:p>
        </w:tc>
      </w:tr>
      <w:tr w:rsidR="007E3D5F" w14:paraId="379813BE" w14:textId="77777777">
        <w:tc>
          <w:tcPr>
            <w:tcW w:w="2693" w:type="dxa"/>
            <w:shd w:val="clear" w:color="auto" w:fill="auto"/>
          </w:tcPr>
          <w:p w14:paraId="46BD15B5" w14:textId="77777777" w:rsidR="007E3D5F" w:rsidRDefault="007E3D5F">
            <w:pPr>
              <w:pStyle w:val="FarbigeListe-Akzent11"/>
              <w:tabs>
                <w:tab w:val="left" w:pos="709"/>
              </w:tabs>
              <w:spacing w:after="120" w:line="240" w:lineRule="auto"/>
              <w:ind w:left="-108"/>
            </w:pPr>
            <w:r>
              <w:rPr>
                <w:rFonts w:ascii="Arial" w:hAnsi="Arial" w:cs="Arial"/>
                <w:b/>
                <w:sz w:val="20"/>
                <w:szCs w:val="20"/>
                <w:lang w:val="en-GB"/>
              </w:rPr>
              <w:t>“Supervisory Authority”</w:t>
            </w:r>
          </w:p>
        </w:tc>
        <w:tc>
          <w:tcPr>
            <w:tcW w:w="6379" w:type="dxa"/>
            <w:shd w:val="clear" w:color="auto" w:fill="auto"/>
          </w:tcPr>
          <w:p w14:paraId="5EF6A801"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means a governmental or government chartered regulatory body having binding legal authority over a party;</w:t>
            </w:r>
          </w:p>
        </w:tc>
      </w:tr>
      <w:tr w:rsidR="007E3D5F" w14:paraId="615243D7" w14:textId="77777777">
        <w:tc>
          <w:tcPr>
            <w:tcW w:w="2693" w:type="dxa"/>
            <w:shd w:val="clear" w:color="auto" w:fill="auto"/>
          </w:tcPr>
          <w:p w14:paraId="603A30A5" w14:textId="77777777" w:rsidR="007E3D5F" w:rsidRDefault="007E3D5F">
            <w:pPr>
              <w:pStyle w:val="FarbigeListe-Akzent11"/>
              <w:tabs>
                <w:tab w:val="left" w:pos="709"/>
              </w:tabs>
              <w:spacing w:after="120" w:line="240" w:lineRule="auto"/>
              <w:ind w:left="-108"/>
            </w:pPr>
            <w:r>
              <w:rPr>
                <w:rFonts w:ascii="Arial" w:hAnsi="Arial" w:cs="Arial"/>
                <w:b/>
                <w:sz w:val="20"/>
                <w:szCs w:val="20"/>
                <w:lang w:val="en-GB"/>
              </w:rPr>
              <w:t>“UK GDPR”</w:t>
            </w:r>
          </w:p>
        </w:tc>
        <w:tc>
          <w:tcPr>
            <w:tcW w:w="6379" w:type="dxa"/>
            <w:shd w:val="clear" w:color="auto" w:fill="auto"/>
          </w:tcPr>
          <w:p w14:paraId="336914DD" w14:textId="77777777" w:rsidR="007E3D5F" w:rsidRDefault="007E3D5F">
            <w:pPr>
              <w:pStyle w:val="FarbigeListe-Akzent11"/>
              <w:tabs>
                <w:tab w:val="left" w:pos="709"/>
              </w:tabs>
              <w:spacing w:after="120" w:line="240" w:lineRule="auto"/>
              <w:ind w:left="-108"/>
              <w:jc w:val="both"/>
            </w:pPr>
            <w:r>
              <w:rPr>
                <w:rFonts w:ascii="Arial" w:hAnsi="Arial" w:cs="Arial"/>
                <w:sz w:val="20"/>
                <w:szCs w:val="20"/>
                <w:lang w:val="en-GB"/>
              </w:rPr>
              <w:t xml:space="preserve">means </w:t>
            </w:r>
            <w:r>
              <w:rPr>
                <w:rFonts w:ascii="Arial" w:hAnsi="Arial" w:cs="Arial"/>
                <w:bCs/>
                <w:sz w:val="20"/>
                <w:lang w:val="en-GB"/>
              </w:rPr>
              <w:t>the EU GDPR as it forms part of the law of England and Wales, Scotland and Northern Ireland by virtue of section 3 of the European Union (Withdrawal) Act 2018.</w:t>
            </w:r>
          </w:p>
        </w:tc>
      </w:tr>
    </w:tbl>
    <w:p w14:paraId="2C017BFA" w14:textId="77777777" w:rsidR="007E3D5F" w:rsidRDefault="007E3D5F">
      <w:pPr>
        <w:pStyle w:val="FarbigeListe-Akzent11"/>
        <w:tabs>
          <w:tab w:val="left" w:pos="709"/>
        </w:tabs>
        <w:spacing w:after="120" w:line="240" w:lineRule="auto"/>
        <w:ind w:left="709" w:hanging="709"/>
        <w:jc w:val="both"/>
        <w:rPr>
          <w:rFonts w:ascii="Arial" w:hAnsi="Arial" w:cs="Arial"/>
          <w:sz w:val="20"/>
          <w:szCs w:val="20"/>
          <w:lang w:val="en-GB"/>
        </w:rPr>
      </w:pPr>
    </w:p>
    <w:p w14:paraId="4FFDFCBD"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Purpose</w:t>
      </w:r>
    </w:p>
    <w:p w14:paraId="5DD5AD1C"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has agreed to provide the Services to the Controller in accordance with the terms of the Agreement. In providing the Services, the Processor shall process Customer Data on behalf of the Controller. Customer Data may include Personal Data. The Processor will process and protect such Personal Data in accordance with the terms of this DPA.</w:t>
      </w:r>
    </w:p>
    <w:p w14:paraId="695EEBD4"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Scope</w:t>
      </w:r>
    </w:p>
    <w:p w14:paraId="798A09FD"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In providing the Services to the Controller pursuant to the terms of the Agreement, the Processor shall process Personal Data only to the extent necessary to provide the Services in accordance with the terms of the Agreement, this DPA and the Controller’s instructions documented in the Agreement and this DPA, as updated from time to time.</w:t>
      </w:r>
    </w:p>
    <w:p w14:paraId="3FAE3748"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Controller and Processor shall take steps to ensure that any natural person acting under the authority of the Controller or the Processor who has access to Personal Data does not process them except on the instructions from the Controller unless required to do so by any Data Protection Law. </w:t>
      </w:r>
    </w:p>
    <w:p w14:paraId="198B8F1D"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Processor Obligations</w:t>
      </w:r>
    </w:p>
    <w:p w14:paraId="19FE09BA"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may collect, process or use Personal Data only within the scope of this DPA.</w:t>
      </w:r>
    </w:p>
    <w:p w14:paraId="41C7F545"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confirms that it shall process Personal Data on behalf of the Controller in accordance with the documented instructions of the Controller.</w:t>
      </w:r>
    </w:p>
    <w:p w14:paraId="2F192398"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shall promptly inform the Controller, if in the Processor’s opinion, any of the instructions regarding the processing of Personal Data provided by the Controller, breach any Data Protection Law.</w:t>
      </w:r>
    </w:p>
    <w:p w14:paraId="72775BA7"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shall ensure that all employees, agents, officers and contractors involved in the handling of Personal Data: (</w:t>
      </w:r>
      <w:proofErr w:type="spellStart"/>
      <w:r>
        <w:rPr>
          <w:rFonts w:ascii="Arial" w:hAnsi="Arial" w:cs="Arial"/>
          <w:sz w:val="20"/>
          <w:szCs w:val="20"/>
          <w:lang w:val="en-GB"/>
        </w:rPr>
        <w:t>i</w:t>
      </w:r>
      <w:proofErr w:type="spellEnd"/>
      <w:r>
        <w:rPr>
          <w:rFonts w:ascii="Arial" w:hAnsi="Arial" w:cs="Arial"/>
          <w:sz w:val="20"/>
          <w:szCs w:val="20"/>
          <w:lang w:val="en-GB"/>
        </w:rPr>
        <w:t>) are aware of the confidential nature of the Personal Data and are contractually bound to keep the Personal Data confidential; (ii) have received appropriate training on their responsibilities as a data processor; and (iii) are bound by the terms of this DPA.</w:t>
      </w:r>
    </w:p>
    <w:p w14:paraId="680402E9"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lastRenderedPageBreak/>
        <w:t xml:space="preserve">The Processor shall implement appropriate technical and organisational procedures to protect Personal Data, taking into account the state of the art, the costs of implementation and the nature, scope, context and purposes of processing as well as the risk of varying likelihood and severity for the rights and freedoms of natural persons. </w:t>
      </w:r>
    </w:p>
    <w:p w14:paraId="7CF09E8D"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shall implement appropriate technical and organisational measures to ensure a level of security appropriate to the risk, including inter alia as appropriate: (</w:t>
      </w:r>
      <w:proofErr w:type="spellStart"/>
      <w:r>
        <w:rPr>
          <w:rFonts w:ascii="Arial" w:hAnsi="Arial" w:cs="Arial"/>
          <w:sz w:val="20"/>
          <w:szCs w:val="20"/>
          <w:lang w:val="en-GB"/>
        </w:rPr>
        <w:t>i</w:t>
      </w:r>
      <w:proofErr w:type="spellEnd"/>
      <w:r>
        <w:rPr>
          <w:rFonts w:ascii="Arial" w:hAnsi="Arial" w:cs="Arial"/>
          <w:sz w:val="20"/>
          <w:szCs w:val="20"/>
          <w:lang w:val="en-GB"/>
        </w:rPr>
        <w:t>) the pseudonymisation and encryption of Personal Data; (ii) the ability to ensure the on-going confidentiality, integrity, availability and resilience of processing systems and services; (iii) the ability to restore the availability and access to Personal Data in a timely manner in the event of a physical or technical incident; (iv) a process for regularly testing, assessing and evaluating the effectiveness of technical and organisational measures for ensuring the security of the processing. In accessing the appropriate level of security, account shall be taken in particular of the risks that are presented by processing, in particular from accidental or unlawful destruction, loss, alteration, unauthorised disclosure of, or access to Personal Data transmitted, stored or otherwise processed.</w:t>
      </w:r>
    </w:p>
    <w:p w14:paraId="35FF755E"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technical and organisational measures detailed in Exhibit B shall at all times be adhered to as a minimum security standard. The Controller accepts and agrees that the technical and organisational measures are subject to development and review and that the Processor may use alternative suitable measures to those detailed in the attachments to this DPA, provided such measures are at least equivalent to the technical and organisational measures set out in Exhibit B and appropriate pursuant to the Processor’s obligations in clauses 4.5 and 4.6 above.</w:t>
      </w:r>
    </w:p>
    <w:p w14:paraId="24467197"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Controller acknowledges and agrees that, in the course of providing the Services to the Controller, it may be necessary for the Processor to access the Personal Data to respond to any technical problems or Controller queries and to ensure the proper working of the Services. All such access by the Processor will be limited to those purposes. </w:t>
      </w:r>
    </w:p>
    <w:p w14:paraId="3D806A8C"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Taking into account the nature of the processing and the information available to the Processor, the Processor shall assist the Controller by having in place appropriate technical and organisational measures, insofar as this is possible, for the fulfilment of the Controller's obligation to respond to requests for exercising the Data Subject's rights and the Controller’s compliance with the Controller’s data protection obligations in respect of the processing of Personal Data.</w:t>
      </w:r>
    </w:p>
    <w:p w14:paraId="02845BA6" w14:textId="77777777" w:rsidR="007E3D5F" w:rsidRPr="0006378C" w:rsidRDefault="007E3D5F">
      <w:pPr>
        <w:numPr>
          <w:ilvl w:val="1"/>
          <w:numId w:val="10"/>
        </w:numPr>
        <w:tabs>
          <w:tab w:val="left" w:pos="709"/>
        </w:tabs>
        <w:spacing w:after="120"/>
        <w:ind w:left="709" w:hanging="709"/>
        <w:rPr>
          <w:lang w:val="en-US"/>
        </w:rPr>
      </w:pPr>
      <w:r>
        <w:rPr>
          <w:rFonts w:ascii="Arial" w:eastAsia="Calibri" w:hAnsi="Arial" w:cs="Arial"/>
          <w:sz w:val="20"/>
          <w:szCs w:val="20"/>
          <w:lang w:val="en-GB" w:eastAsia="en-US"/>
        </w:rPr>
        <w:t>The Processor may not: (</w:t>
      </w:r>
      <w:proofErr w:type="spellStart"/>
      <w:r>
        <w:rPr>
          <w:rFonts w:ascii="Arial" w:eastAsia="Calibri" w:hAnsi="Arial" w:cs="Arial"/>
          <w:sz w:val="20"/>
          <w:szCs w:val="20"/>
          <w:lang w:val="en-GB" w:eastAsia="en-US"/>
        </w:rPr>
        <w:t>i</w:t>
      </w:r>
      <w:proofErr w:type="spellEnd"/>
      <w:r>
        <w:rPr>
          <w:rFonts w:ascii="Arial" w:eastAsia="Calibri" w:hAnsi="Arial" w:cs="Arial"/>
          <w:sz w:val="20"/>
          <w:szCs w:val="20"/>
          <w:lang w:val="en-GB" w:eastAsia="en-US"/>
        </w:rPr>
        <w:t>) sell Personal Data; (ii) retain, use, or disclose Personal Data for commercial purposes other than providing the Services under the terms of the Agreement; or (iii) retain, use, or disclose Personal Data outside of the Agreement.</w:t>
      </w:r>
    </w:p>
    <w:p w14:paraId="2ABC9A2A"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Controller</w:t>
      </w:r>
      <w:r>
        <w:rPr>
          <w:rFonts w:ascii="Arial" w:hAnsi="Arial" w:cs="Arial"/>
          <w:sz w:val="20"/>
          <w:szCs w:val="20"/>
          <w:lang w:val="en-GB"/>
        </w:rPr>
        <w:t xml:space="preserve"> </w:t>
      </w:r>
      <w:r>
        <w:rPr>
          <w:rFonts w:ascii="Arial" w:hAnsi="Arial" w:cs="Arial"/>
          <w:b/>
          <w:sz w:val="20"/>
          <w:szCs w:val="20"/>
          <w:lang w:val="en-GB"/>
        </w:rPr>
        <w:t>Obligations</w:t>
      </w:r>
    </w:p>
    <w:p w14:paraId="20731335"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Controller represents and warrants that: (</w:t>
      </w:r>
      <w:proofErr w:type="spellStart"/>
      <w:r>
        <w:rPr>
          <w:rFonts w:ascii="Arial" w:hAnsi="Arial" w:cs="Arial"/>
          <w:sz w:val="20"/>
          <w:szCs w:val="20"/>
          <w:lang w:val="en-GB"/>
        </w:rPr>
        <w:t>i</w:t>
      </w:r>
      <w:proofErr w:type="spellEnd"/>
      <w:r>
        <w:rPr>
          <w:rFonts w:ascii="Arial" w:hAnsi="Arial" w:cs="Arial"/>
          <w:sz w:val="20"/>
          <w:szCs w:val="20"/>
          <w:lang w:val="en-GB"/>
        </w:rPr>
        <w:t>) it shall comply with this DPA and its obligations under Data Protection Law; (ii) it has obtained any, and all, necessary permissions and authorisations necessary to permit the Processor, its Affiliates and Sub-processors, to execute their rights or perform their obligations under this DPA; and (iii) all Affiliates of the Controller who use the Services shall comply with the obligations of the Controller set out in this DPA.</w:t>
      </w:r>
    </w:p>
    <w:p w14:paraId="79B4897B"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Controller shall implement appropriate technical and organisational </w:t>
      </w:r>
      <w:r w:rsidR="0006378C">
        <w:rPr>
          <w:rFonts w:ascii="Arial" w:hAnsi="Arial" w:cs="Arial"/>
          <w:sz w:val="20"/>
          <w:szCs w:val="20"/>
          <w:lang w:val="en-GB"/>
        </w:rPr>
        <w:t xml:space="preserve">measures </w:t>
      </w:r>
      <w:r>
        <w:rPr>
          <w:rFonts w:ascii="Arial" w:hAnsi="Arial" w:cs="Arial"/>
          <w:sz w:val="20"/>
          <w:szCs w:val="20"/>
          <w:lang w:val="en-GB"/>
        </w:rPr>
        <w:t>to protect Personal Data, taking into account the state of the art, the costs of implementation and the nature, scope, context and purposes of processing as well as the risk of varying likelihood and severity for the rights and freedoms of natural persons. The Controller shall implement appropriate technical and organisational measures to ensure a level of security appropriate to the risk, including inter alia as appropriate: (</w:t>
      </w:r>
      <w:proofErr w:type="spellStart"/>
      <w:r>
        <w:rPr>
          <w:rFonts w:ascii="Arial" w:hAnsi="Arial" w:cs="Arial"/>
          <w:sz w:val="20"/>
          <w:szCs w:val="20"/>
          <w:lang w:val="en-GB"/>
        </w:rPr>
        <w:t>i</w:t>
      </w:r>
      <w:proofErr w:type="spellEnd"/>
      <w:r>
        <w:rPr>
          <w:rFonts w:ascii="Arial" w:hAnsi="Arial" w:cs="Arial"/>
          <w:sz w:val="20"/>
          <w:szCs w:val="20"/>
          <w:lang w:val="en-GB"/>
        </w:rPr>
        <w:t>) the pseudonymisation and encryption of Personal Data; (ii) the ability to ensure the on-going confidentiality, integrity, availability and resilience of processing systems and services; (iii) the ability to restore the availability and access to Personal Data in a timely manner in the event of a physical or technical incident; (iv) a process for regularly testing, assessing and evaluating the effectiveness of technical and organisational measures for ensuring the security of the processing. In accessing the appropriate level of security account shall be taken in particular of the risks that are presented by processing, in particular from accidental or unlawful destruction, loss, alteration, unauthorised disclosure of, or access to Personal Data transmitted, stored or otherwise processed.</w:t>
      </w:r>
    </w:p>
    <w:p w14:paraId="1E0B1A7D"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Controller acknowledges and agrees that some instructions from the Controller including the Processor assisting with audits, inspections, DPIAs or providing other assistance under this DPA, may result in additional fees. In such case the Processor shall notify the Controller of its fees for providing such assistance in advance and shall be entitled to charge the </w:t>
      </w:r>
      <w:r>
        <w:rPr>
          <w:rFonts w:ascii="Arial" w:hAnsi="Arial" w:cs="Arial"/>
          <w:sz w:val="20"/>
          <w:szCs w:val="20"/>
          <w:lang w:val="en-GB"/>
        </w:rPr>
        <w:lastRenderedPageBreak/>
        <w:t xml:space="preserve">Controller for its reasonable costs and expenses in providing such assistance, unless agreed otherwise. </w:t>
      </w:r>
    </w:p>
    <w:p w14:paraId="2B03E8FB"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Sub-processors</w:t>
      </w:r>
    </w:p>
    <w:p w14:paraId="500DA82B"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Controller acknowledges and agrees that: (</w:t>
      </w:r>
      <w:proofErr w:type="spellStart"/>
      <w:r>
        <w:rPr>
          <w:rFonts w:ascii="Arial" w:hAnsi="Arial" w:cs="Arial"/>
          <w:sz w:val="20"/>
          <w:szCs w:val="20"/>
          <w:lang w:val="en-GB"/>
        </w:rPr>
        <w:t>i</w:t>
      </w:r>
      <w:proofErr w:type="spellEnd"/>
      <w:r>
        <w:rPr>
          <w:rFonts w:ascii="Arial" w:hAnsi="Arial" w:cs="Arial"/>
          <w:sz w:val="20"/>
          <w:szCs w:val="20"/>
          <w:lang w:val="en-GB"/>
        </w:rPr>
        <w:t xml:space="preserve">) Affiliates of the Processor may be used as Sub-processors; and (ii) the Processor and its Affiliates respectively may engage Sub-processors in connection with the provision of the Services. </w:t>
      </w:r>
    </w:p>
    <w:p w14:paraId="36F9624C"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All Sub-processors who process Personal Data in the provision of the Services to the Controller shall comply with the obligations of the Processor set out in this DPA.</w:t>
      </w:r>
    </w:p>
    <w:p w14:paraId="183CCDEF"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Controller authorises the Processor to use the Sub-processors included in the list of Sub-processors published at https://silktide.com/company/legal/sub-processors/ to process the Personal Data. During the term of this DPA, the Processor shall provide the Controller with 30 days prior notification, via email, of any changes to the list of Sub-processors before authorising any new or replacement Sub-processor to process Personal Data in connection with the provision of the Services. </w:t>
      </w:r>
    </w:p>
    <w:p w14:paraId="6FB518DF"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Controller may object to the use of a new or replacement Sub-processor, by notifying the Processor promptly in writing within ten (10) Business Days after receipt of the Processor’s notice. If the Controller objects to a new or replacement Sub-processor, the Controller may terminate the Agreement with respect to those Services which cannot be provided by the Processor without the use of the new or replacement Sub-processor. The Processor will refund the Controller any prepaid fees covering the remainder of the term of the Agreement following the effective date of termination with respect to such terminated Services.  </w:t>
      </w:r>
    </w:p>
    <w:p w14:paraId="1188150E"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All Sub-processors who process Personal Data shall comply with the obligations of the Processor set out in this DPA. The Processor shall prior to the relevant Sub-processor carrying out any processing activities in respect of the Personal Data: (</w:t>
      </w:r>
      <w:proofErr w:type="spellStart"/>
      <w:r>
        <w:rPr>
          <w:rFonts w:ascii="Arial" w:hAnsi="Arial" w:cs="Arial"/>
          <w:sz w:val="20"/>
          <w:szCs w:val="20"/>
          <w:lang w:val="en-GB"/>
        </w:rPr>
        <w:t>i</w:t>
      </w:r>
      <w:proofErr w:type="spellEnd"/>
      <w:r>
        <w:rPr>
          <w:rFonts w:ascii="Arial" w:hAnsi="Arial" w:cs="Arial"/>
          <w:sz w:val="20"/>
          <w:szCs w:val="20"/>
          <w:lang w:val="en-GB"/>
        </w:rPr>
        <w:t>) appoint each Sub-processor under a written contract containing materially the same obligations to those of the processor in this DPA enforceable by the Processor; and (ii) ensure each such Sub-processor complies with all such obligations.</w:t>
      </w:r>
    </w:p>
    <w:p w14:paraId="2C9C7F3F"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Controller agrees that the Processor and its Sub-processors may make Restricted Transfers of Personal Data for the purpose of providing the Services to the Controller in accordance with the Agreement. The Processor confirms that such Sub-processors: (</w:t>
      </w:r>
      <w:proofErr w:type="spellStart"/>
      <w:r>
        <w:rPr>
          <w:rFonts w:ascii="Arial" w:hAnsi="Arial" w:cs="Arial"/>
          <w:sz w:val="20"/>
          <w:szCs w:val="20"/>
          <w:lang w:val="en-GB"/>
        </w:rPr>
        <w:t>i</w:t>
      </w:r>
      <w:proofErr w:type="spellEnd"/>
      <w:r>
        <w:rPr>
          <w:rFonts w:ascii="Arial" w:hAnsi="Arial" w:cs="Arial"/>
          <w:sz w:val="20"/>
          <w:szCs w:val="20"/>
          <w:lang w:val="en-GB"/>
        </w:rPr>
        <w:t>) are located in a third country or territory recognised by the EU Commission or a Supervisory Authority, as applicable, to have an adequate level of protection; or (ii) have entered into the applicable SCCs with the Processor; or (iii) have other legally recognised appropriate safeguards in place.</w:t>
      </w:r>
    </w:p>
    <w:p w14:paraId="0ACA6078" w14:textId="77777777" w:rsidR="007E3D5F" w:rsidRDefault="007E3D5F">
      <w:pPr>
        <w:numPr>
          <w:ilvl w:val="0"/>
          <w:numId w:val="10"/>
        </w:numPr>
        <w:spacing w:after="120" w:line="276" w:lineRule="auto"/>
        <w:ind w:left="709" w:hanging="709"/>
        <w:jc w:val="both"/>
      </w:pPr>
      <w:r>
        <w:rPr>
          <w:rFonts w:ascii="Arial" w:eastAsia="Calibri" w:hAnsi="Arial" w:cs="Arial"/>
          <w:b/>
          <w:sz w:val="20"/>
          <w:szCs w:val="20"/>
          <w:lang w:val="en-GB" w:eastAsia="en-US"/>
        </w:rPr>
        <w:t>Restricted Transfers</w:t>
      </w:r>
    </w:p>
    <w:p w14:paraId="10E38123" w14:textId="77777777" w:rsidR="007E3D5F" w:rsidRPr="0006378C" w:rsidRDefault="007E3D5F">
      <w:pPr>
        <w:numPr>
          <w:ilvl w:val="1"/>
          <w:numId w:val="10"/>
        </w:numPr>
        <w:tabs>
          <w:tab w:val="left" w:pos="709"/>
        </w:tabs>
        <w:spacing w:after="120"/>
        <w:ind w:left="709" w:hanging="709"/>
        <w:jc w:val="both"/>
        <w:rPr>
          <w:lang w:val="en-US"/>
        </w:rPr>
      </w:pPr>
      <w:r>
        <w:rPr>
          <w:rFonts w:ascii="Arial" w:hAnsi="Arial" w:cs="Arial"/>
          <w:sz w:val="20"/>
          <w:lang w:val="en-GB"/>
        </w:rPr>
        <w:t xml:space="preserve">The parties agree that, when the transfer of Personal Data </w:t>
      </w:r>
      <w:r w:rsidR="0006378C">
        <w:rPr>
          <w:rFonts w:ascii="Arial" w:hAnsi="Arial" w:cs="Arial"/>
          <w:sz w:val="20"/>
          <w:lang w:val="en-GB"/>
        </w:rPr>
        <w:t xml:space="preserve">occurs between </w:t>
      </w:r>
      <w:r>
        <w:rPr>
          <w:rFonts w:ascii="Arial" w:hAnsi="Arial" w:cs="Arial"/>
          <w:sz w:val="20"/>
          <w:lang w:val="en-GB"/>
        </w:rPr>
        <w:t xml:space="preserve">the Controller </w:t>
      </w:r>
      <w:r w:rsidR="0006378C">
        <w:rPr>
          <w:rFonts w:ascii="Arial" w:hAnsi="Arial" w:cs="Arial"/>
          <w:sz w:val="20"/>
          <w:lang w:val="en-GB"/>
        </w:rPr>
        <w:t xml:space="preserve">and </w:t>
      </w:r>
      <w:r>
        <w:rPr>
          <w:rFonts w:ascii="Arial" w:hAnsi="Arial" w:cs="Arial"/>
          <w:sz w:val="20"/>
          <w:lang w:val="en-GB"/>
        </w:rPr>
        <w:t xml:space="preserve">the Processor or from the Processor to a Sub-processor </w:t>
      </w:r>
      <w:r w:rsidR="0006378C">
        <w:rPr>
          <w:rFonts w:ascii="Arial" w:hAnsi="Arial" w:cs="Arial"/>
          <w:sz w:val="20"/>
          <w:lang w:val="en-GB"/>
        </w:rPr>
        <w:t xml:space="preserve">which </w:t>
      </w:r>
      <w:r>
        <w:rPr>
          <w:rFonts w:ascii="Arial" w:hAnsi="Arial" w:cs="Arial"/>
          <w:sz w:val="20"/>
          <w:lang w:val="en-GB"/>
        </w:rPr>
        <w:t>is a Restricted Transfer, it shall be subject to the applicable SCCs.</w:t>
      </w:r>
    </w:p>
    <w:p w14:paraId="02DDCF45" w14:textId="77777777" w:rsidR="007E3D5F" w:rsidRPr="0006378C" w:rsidRDefault="007E3D5F">
      <w:pPr>
        <w:numPr>
          <w:ilvl w:val="1"/>
          <w:numId w:val="10"/>
        </w:numPr>
        <w:tabs>
          <w:tab w:val="left" w:pos="709"/>
        </w:tabs>
        <w:spacing w:after="120"/>
        <w:ind w:left="709" w:hanging="709"/>
        <w:jc w:val="both"/>
        <w:rPr>
          <w:lang w:val="en-US"/>
        </w:rPr>
      </w:pPr>
      <w:r>
        <w:rPr>
          <w:rFonts w:ascii="Arial" w:hAnsi="Arial" w:cs="Arial"/>
          <w:sz w:val="20"/>
          <w:lang w:val="en-GB"/>
        </w:rPr>
        <w:t xml:space="preserve">The parties agree that the EU SCCs shall apply to Restricted Transfers from the EEA. The EU SCCs shall be deemed entered into (and incorporated into this DPA by reference) and completed as follows: </w:t>
      </w:r>
    </w:p>
    <w:p w14:paraId="12653C59"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t xml:space="preserve">Module Two (Controller to Processor) shall apply where the Customer is a Controller of </w:t>
      </w:r>
      <w:r w:rsidR="0006378C">
        <w:rPr>
          <w:rFonts w:ascii="Arial" w:hAnsi="Arial" w:cs="Arial"/>
          <w:sz w:val="20"/>
          <w:lang w:val="en-GB"/>
        </w:rPr>
        <w:t xml:space="preserve">Personal </w:t>
      </w:r>
      <w:r>
        <w:rPr>
          <w:rFonts w:ascii="Arial" w:hAnsi="Arial" w:cs="Arial"/>
          <w:sz w:val="20"/>
          <w:lang w:val="en-GB"/>
        </w:rPr>
        <w:t xml:space="preserve">Data and the Company is processing </w:t>
      </w:r>
      <w:r w:rsidR="0006378C">
        <w:rPr>
          <w:rFonts w:ascii="Arial" w:hAnsi="Arial" w:cs="Arial"/>
          <w:sz w:val="20"/>
          <w:lang w:val="en-GB"/>
        </w:rPr>
        <w:t xml:space="preserve">Personal </w:t>
      </w:r>
      <w:r>
        <w:rPr>
          <w:rFonts w:ascii="Arial" w:hAnsi="Arial" w:cs="Arial"/>
          <w:sz w:val="20"/>
          <w:lang w:val="en-GB"/>
        </w:rPr>
        <w:t>Data;</w:t>
      </w:r>
    </w:p>
    <w:p w14:paraId="50C8D13D" w14:textId="77777777" w:rsidR="007E3D5F" w:rsidRPr="009C19B6" w:rsidRDefault="007E3D5F">
      <w:pPr>
        <w:numPr>
          <w:ilvl w:val="0"/>
          <w:numId w:val="4"/>
        </w:numPr>
        <w:tabs>
          <w:tab w:val="left" w:pos="709"/>
          <w:tab w:val="left" w:pos="1418"/>
        </w:tabs>
        <w:spacing w:after="120"/>
        <w:jc w:val="both"/>
        <w:rPr>
          <w:lang w:val="en-US"/>
        </w:rPr>
      </w:pPr>
      <w:r>
        <w:rPr>
          <w:rFonts w:ascii="Arial" w:hAnsi="Arial" w:cs="Arial"/>
          <w:sz w:val="20"/>
          <w:lang w:val="en-GB"/>
        </w:rPr>
        <w:t xml:space="preserve">Module Three (Processor to Processor) shall apply where the Company is a Processor of the </w:t>
      </w:r>
      <w:r w:rsidR="0006378C">
        <w:rPr>
          <w:rFonts w:ascii="Arial" w:hAnsi="Arial" w:cs="Arial"/>
          <w:sz w:val="20"/>
          <w:lang w:val="en-GB"/>
        </w:rPr>
        <w:t xml:space="preserve">Personal </w:t>
      </w:r>
      <w:r>
        <w:rPr>
          <w:rFonts w:ascii="Arial" w:hAnsi="Arial" w:cs="Arial"/>
          <w:sz w:val="20"/>
          <w:lang w:val="en-GB"/>
        </w:rPr>
        <w:t xml:space="preserve">Data and the Company uses a Sub-processor to process the </w:t>
      </w:r>
      <w:r w:rsidR="0006378C">
        <w:rPr>
          <w:rFonts w:ascii="Arial" w:hAnsi="Arial" w:cs="Arial"/>
          <w:sz w:val="20"/>
          <w:lang w:val="en-GB"/>
        </w:rPr>
        <w:t xml:space="preserve">Personal </w:t>
      </w:r>
      <w:r>
        <w:rPr>
          <w:rFonts w:ascii="Arial" w:hAnsi="Arial" w:cs="Arial"/>
          <w:sz w:val="20"/>
          <w:lang w:val="en-GB"/>
        </w:rPr>
        <w:t>Data;</w:t>
      </w:r>
    </w:p>
    <w:p w14:paraId="430FF6C3" w14:textId="77777777" w:rsidR="0006378C" w:rsidRPr="0006378C" w:rsidRDefault="0006378C">
      <w:pPr>
        <w:numPr>
          <w:ilvl w:val="0"/>
          <w:numId w:val="4"/>
        </w:numPr>
        <w:tabs>
          <w:tab w:val="left" w:pos="709"/>
          <w:tab w:val="left" w:pos="1418"/>
        </w:tabs>
        <w:spacing w:after="120"/>
        <w:jc w:val="both"/>
        <w:rPr>
          <w:lang w:val="en-US"/>
        </w:rPr>
      </w:pPr>
      <w:r w:rsidRPr="009C19B6">
        <w:rPr>
          <w:rFonts w:ascii="Arial" w:hAnsi="Arial" w:cs="Arial"/>
          <w:sz w:val="20"/>
          <w:lang w:val="en-US"/>
        </w:rPr>
        <w:t>Module Four (Processor to Controller) shall apply where the Company is processing Personal Data and the Customer is not subject to the EU GDPR or UK GDPR</w:t>
      </w:r>
      <w:r>
        <w:rPr>
          <w:rFonts w:ascii="Arial" w:hAnsi="Arial" w:cs="Arial"/>
          <w:sz w:val="20"/>
          <w:lang w:val="en-US"/>
        </w:rPr>
        <w:t>;</w:t>
      </w:r>
    </w:p>
    <w:p w14:paraId="567A7C5E"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t>In Clause 7 of the EU SCCs, the optional docking clause does not apply;</w:t>
      </w:r>
    </w:p>
    <w:p w14:paraId="340200B6"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t>In Clause 9 of the EU SCCs Option 2 applies, and the time period for giving notice of Sub-processor changes shall be as set out in clause 6.3 of this DPA;</w:t>
      </w:r>
    </w:p>
    <w:p w14:paraId="4BE2026F"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t>In Clause 11 of the EU SCCs, the optional language shall not apply;</w:t>
      </w:r>
    </w:p>
    <w:p w14:paraId="38843EA2"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t>In Clause 17 of the EU SCCs, Option 1 applies and the EU SCCs shall be governed by Irish law;</w:t>
      </w:r>
    </w:p>
    <w:p w14:paraId="44638C51"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t>In Clause 18(b) of the EU SCCs, disputes shall be resolved by the courts of Ireland;</w:t>
      </w:r>
    </w:p>
    <w:p w14:paraId="3A0AD37F"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lastRenderedPageBreak/>
        <w:t>Annex I of the EU SCCs shall be deemed completed with the information set out in Exhibit A of this DPA;</w:t>
      </w:r>
    </w:p>
    <w:p w14:paraId="4C608155" w14:textId="77777777" w:rsidR="007E3D5F" w:rsidRPr="0006378C" w:rsidRDefault="007E3D5F">
      <w:pPr>
        <w:numPr>
          <w:ilvl w:val="0"/>
          <w:numId w:val="4"/>
        </w:numPr>
        <w:tabs>
          <w:tab w:val="left" w:pos="709"/>
          <w:tab w:val="left" w:pos="1418"/>
        </w:tabs>
        <w:spacing w:after="120"/>
        <w:jc w:val="both"/>
        <w:rPr>
          <w:lang w:val="en-US"/>
        </w:rPr>
      </w:pPr>
      <w:r>
        <w:rPr>
          <w:rFonts w:ascii="Arial" w:hAnsi="Arial" w:cs="Arial"/>
          <w:sz w:val="20"/>
          <w:lang w:val="en-GB"/>
        </w:rPr>
        <w:t>Annex II of the EU SCCs shall be deemed completed with the information set out in Exhibit B of this DPA;</w:t>
      </w:r>
    </w:p>
    <w:p w14:paraId="2D4E7DAF" w14:textId="77777777" w:rsidR="007E3D5F" w:rsidRPr="0006378C" w:rsidRDefault="007E3D5F">
      <w:pPr>
        <w:numPr>
          <w:ilvl w:val="1"/>
          <w:numId w:val="10"/>
        </w:numPr>
        <w:tabs>
          <w:tab w:val="left" w:pos="709"/>
        </w:tabs>
        <w:spacing w:after="120"/>
        <w:ind w:left="709" w:hanging="709"/>
        <w:jc w:val="both"/>
        <w:rPr>
          <w:lang w:val="en-US"/>
        </w:rPr>
      </w:pPr>
      <w:r>
        <w:rPr>
          <w:rFonts w:ascii="Arial" w:hAnsi="Arial" w:cs="Arial"/>
          <w:sz w:val="20"/>
          <w:lang w:val="en-GB"/>
        </w:rPr>
        <w:t>The Parties agree that the EU SCCs as amended in clause 7.2 above, shall be adjusted as set out below where the FDPA applies to any Restricted Transfer:</w:t>
      </w:r>
    </w:p>
    <w:p w14:paraId="37387A51" w14:textId="77777777" w:rsidR="007E3D5F" w:rsidRPr="0006378C" w:rsidRDefault="007E3D5F">
      <w:pPr>
        <w:numPr>
          <w:ilvl w:val="0"/>
          <w:numId w:val="14"/>
        </w:numPr>
        <w:tabs>
          <w:tab w:val="left" w:pos="709"/>
          <w:tab w:val="left" w:pos="1418"/>
        </w:tabs>
        <w:spacing w:after="120"/>
        <w:jc w:val="both"/>
        <w:rPr>
          <w:lang w:val="en-US"/>
        </w:rPr>
      </w:pPr>
      <w:r>
        <w:rPr>
          <w:rFonts w:ascii="Arial" w:hAnsi="Arial" w:cs="Arial"/>
          <w:sz w:val="20"/>
          <w:lang w:val="en-GB"/>
        </w:rPr>
        <w:t>The Swiss Federal Data Protection and Information Commissioner (“FDPIC”) shall be the sole Supervisory Authority for Restricted Transfers exclusively subject to the FDPA;</w:t>
      </w:r>
    </w:p>
    <w:p w14:paraId="0CB943CE" w14:textId="77777777" w:rsidR="007E3D5F" w:rsidRPr="0006378C" w:rsidRDefault="007E3D5F">
      <w:pPr>
        <w:numPr>
          <w:ilvl w:val="0"/>
          <w:numId w:val="14"/>
        </w:numPr>
        <w:tabs>
          <w:tab w:val="left" w:pos="709"/>
          <w:tab w:val="left" w:pos="1418"/>
        </w:tabs>
        <w:spacing w:after="120"/>
        <w:jc w:val="both"/>
        <w:rPr>
          <w:lang w:val="en-US"/>
        </w:rPr>
      </w:pPr>
      <w:r>
        <w:rPr>
          <w:rFonts w:ascii="Arial" w:hAnsi="Arial" w:cs="Arial"/>
          <w:sz w:val="20"/>
          <w:lang w:val="en-GB"/>
        </w:rPr>
        <w:t>Restricted Transfers subject to both the FDPA and the EU GDPR, shall be dealt with by the EU Supervisory Authority named in Exhibit A of this DPA;</w:t>
      </w:r>
    </w:p>
    <w:p w14:paraId="3A6AE92A" w14:textId="77777777" w:rsidR="007E3D5F" w:rsidRPr="0006378C" w:rsidRDefault="007E3D5F">
      <w:pPr>
        <w:numPr>
          <w:ilvl w:val="0"/>
          <w:numId w:val="14"/>
        </w:numPr>
        <w:tabs>
          <w:tab w:val="left" w:pos="709"/>
          <w:tab w:val="left" w:pos="1418"/>
        </w:tabs>
        <w:spacing w:after="120"/>
        <w:jc w:val="both"/>
        <w:rPr>
          <w:lang w:val="en-US"/>
        </w:rPr>
      </w:pPr>
      <w:r>
        <w:rPr>
          <w:rFonts w:ascii="Arial" w:hAnsi="Arial" w:cs="Arial"/>
          <w:sz w:val="20"/>
          <w:lang w:val="en-GB"/>
        </w:rPr>
        <w:t xml:space="preserve">The term ’member state’ must not be interpreted in such a way as to exclude data subjects in Switzerland from the possibility of suing for their rights in their place of habitual residence (Switzerland) in accordance with Clause 18(c) of the EU SCCs; </w:t>
      </w:r>
    </w:p>
    <w:p w14:paraId="327FB3FF" w14:textId="77777777" w:rsidR="007E3D5F" w:rsidRPr="0006378C" w:rsidRDefault="007E3D5F">
      <w:pPr>
        <w:numPr>
          <w:ilvl w:val="0"/>
          <w:numId w:val="14"/>
        </w:numPr>
        <w:tabs>
          <w:tab w:val="left" w:pos="709"/>
          <w:tab w:val="left" w:pos="1418"/>
        </w:tabs>
        <w:spacing w:after="120"/>
        <w:jc w:val="both"/>
        <w:rPr>
          <w:lang w:val="en-US"/>
        </w:rPr>
      </w:pPr>
      <w:r>
        <w:rPr>
          <w:rFonts w:ascii="Arial" w:hAnsi="Arial" w:cs="Arial"/>
          <w:sz w:val="20"/>
          <w:lang w:val="en-GB"/>
        </w:rPr>
        <w:t>Where Restricted Transfers are exclusively subject to the FDPA, all references to the GDPR in the EU SCCs are to be understood to be references to the FDPA;</w:t>
      </w:r>
    </w:p>
    <w:p w14:paraId="6828F8E7" w14:textId="77777777" w:rsidR="007E3D5F" w:rsidRPr="0006378C" w:rsidRDefault="007E3D5F">
      <w:pPr>
        <w:numPr>
          <w:ilvl w:val="0"/>
          <w:numId w:val="14"/>
        </w:numPr>
        <w:tabs>
          <w:tab w:val="left" w:pos="709"/>
          <w:tab w:val="left" w:pos="1418"/>
        </w:tabs>
        <w:spacing w:after="120"/>
        <w:jc w:val="both"/>
        <w:rPr>
          <w:lang w:val="en-US"/>
        </w:rPr>
      </w:pPr>
      <w:r>
        <w:rPr>
          <w:rFonts w:ascii="Arial" w:hAnsi="Arial" w:cs="Arial"/>
          <w:sz w:val="20"/>
          <w:lang w:val="en-GB"/>
        </w:rPr>
        <w:t>Where Restricted Transfers are subject to both the FDPA and the EU GDPR, all references to the GDPR in the EU SCCs are to be understood to be references to the FDPA insofar as the Restricted Transfers are subject to the FDPA;</w:t>
      </w:r>
    </w:p>
    <w:p w14:paraId="06E1A9C3" w14:textId="77777777" w:rsidR="007E3D5F" w:rsidRPr="0006378C" w:rsidRDefault="007E3D5F">
      <w:pPr>
        <w:numPr>
          <w:ilvl w:val="0"/>
          <w:numId w:val="14"/>
        </w:numPr>
        <w:tabs>
          <w:tab w:val="left" w:pos="709"/>
          <w:tab w:val="left" w:pos="1418"/>
        </w:tabs>
        <w:spacing w:after="120"/>
        <w:jc w:val="both"/>
        <w:rPr>
          <w:lang w:val="en-US"/>
        </w:rPr>
      </w:pPr>
      <w:r>
        <w:rPr>
          <w:rFonts w:ascii="Arial" w:hAnsi="Arial" w:cs="Arial"/>
          <w:sz w:val="20"/>
          <w:lang w:val="en-GB"/>
        </w:rPr>
        <w:t>The Swiss SCCs also protect the Personal Data of legal entities until the entry into force of the revised FDPA.</w:t>
      </w:r>
    </w:p>
    <w:p w14:paraId="1A3A4A46" w14:textId="77777777" w:rsidR="007E3D5F" w:rsidRPr="0006378C" w:rsidRDefault="007E3D5F">
      <w:pPr>
        <w:numPr>
          <w:ilvl w:val="1"/>
          <w:numId w:val="10"/>
        </w:numPr>
        <w:tabs>
          <w:tab w:val="left" w:pos="709"/>
        </w:tabs>
        <w:spacing w:after="120"/>
        <w:ind w:left="709" w:hanging="709"/>
        <w:jc w:val="both"/>
        <w:rPr>
          <w:lang w:val="en-US"/>
        </w:rPr>
      </w:pPr>
      <w:r>
        <w:rPr>
          <w:rFonts w:ascii="Arial" w:hAnsi="Arial" w:cs="Arial"/>
          <w:sz w:val="20"/>
          <w:lang w:val="en-GB"/>
        </w:rPr>
        <w:t xml:space="preserve">The parties agree that the UK SCCs shall apply to Restricted Transfers from the UK and the UK SCCs shall be deemed entered into (and incorporated into this DPA by reference), </w:t>
      </w:r>
      <w:r w:rsidR="0006378C">
        <w:rPr>
          <w:rFonts w:ascii="Arial" w:hAnsi="Arial" w:cs="Arial"/>
          <w:sz w:val="20"/>
          <w:lang w:val="en-GB"/>
        </w:rPr>
        <w:t>as set out in Exhibit C of this DPA.</w:t>
      </w:r>
    </w:p>
    <w:p w14:paraId="49402E41" w14:textId="77777777" w:rsidR="007E3D5F" w:rsidRPr="0006378C" w:rsidRDefault="007E3D5F" w:rsidP="009C19B6">
      <w:pPr>
        <w:numPr>
          <w:ilvl w:val="1"/>
          <w:numId w:val="10"/>
        </w:numPr>
        <w:tabs>
          <w:tab w:val="left" w:pos="709"/>
          <w:tab w:val="left" w:pos="1418"/>
        </w:tabs>
        <w:spacing w:after="120"/>
        <w:ind w:left="709" w:hanging="709"/>
        <w:jc w:val="both"/>
        <w:rPr>
          <w:lang w:val="en-US"/>
        </w:rPr>
      </w:pPr>
      <w:r w:rsidRPr="0006378C">
        <w:rPr>
          <w:rFonts w:ascii="Arial" w:hAnsi="Arial" w:cs="Arial"/>
          <w:sz w:val="20"/>
          <w:lang w:val="en-GB"/>
        </w:rPr>
        <w:t>In the event that any provision of this DPA contradicts directly or indirectly any SCCs, the provisions of the applicable SCCs shall prevail over the terms of the DPA.</w:t>
      </w:r>
    </w:p>
    <w:p w14:paraId="3E3B50C0" w14:textId="77777777" w:rsidR="007E3D5F" w:rsidRDefault="007E3D5F">
      <w:pPr>
        <w:numPr>
          <w:ilvl w:val="0"/>
          <w:numId w:val="10"/>
        </w:numPr>
        <w:spacing w:after="120" w:line="276" w:lineRule="auto"/>
        <w:ind w:left="709" w:hanging="709"/>
        <w:jc w:val="both"/>
      </w:pPr>
      <w:r>
        <w:rPr>
          <w:rFonts w:ascii="Arial" w:eastAsia="Calibri" w:hAnsi="Arial" w:cs="Arial"/>
          <w:b/>
          <w:sz w:val="20"/>
          <w:szCs w:val="20"/>
          <w:lang w:val="en-GB" w:eastAsia="en-US"/>
        </w:rPr>
        <w:t>Data</w:t>
      </w:r>
      <w:r>
        <w:rPr>
          <w:rFonts w:ascii="Arial" w:hAnsi="Arial" w:cs="Arial"/>
          <w:b/>
          <w:sz w:val="20"/>
          <w:szCs w:val="20"/>
          <w:lang w:val="en-GB"/>
        </w:rPr>
        <w:t xml:space="preserve"> Subject Access Requests</w:t>
      </w:r>
    </w:p>
    <w:p w14:paraId="0495A720"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Controller may require correction, deletion, blocking and/or making available the Personal Data during or after termination of the Agreement. The Controller acknowledges and agrees that the Processor will process the request to the extent it is lawful and will reasonably fulfil such request in accordance with its standard operational procedures to the extent possible.</w:t>
      </w:r>
    </w:p>
    <w:p w14:paraId="7C393423"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In the event that the Processor receives a request from a Data Subject in relation to Personal Data, the Processor will refer the Data Subject to the Controller unless otherwise prohibited by law. The Controller shall reimburse the Processor for all costs incurred resulting from providing reasonable assistance in dealing with a Data Subject request. In the event that the Processor is legally required to respond to the Data Subject, the Controller will fully cooperate with the Processor as applicable. </w:t>
      </w:r>
    </w:p>
    <w:p w14:paraId="399227CA"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Audit</w:t>
      </w:r>
      <w:r>
        <w:rPr>
          <w:rFonts w:ascii="Arial" w:hAnsi="Arial" w:cs="Arial"/>
          <w:sz w:val="20"/>
          <w:szCs w:val="20"/>
          <w:lang w:val="en-GB"/>
        </w:rPr>
        <w:t xml:space="preserve"> </w:t>
      </w:r>
    </w:p>
    <w:p w14:paraId="370D3AA3"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shall make available to the Controller all information reasonably necessary to demonstrate compliance with its processing obligations and allow for and contribute to audits and inspections.  </w:t>
      </w:r>
    </w:p>
    <w:p w14:paraId="118F5948"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Any audit conducted under this DPA shall consist of examination of the most recent reports, certificates and/or extracts prepared by an independent auditor bound by confidentiality provisions similar to those set out in the Agreement. In the event that provision of the same is not deemed sufficient in the reasonable opinion of the Controller, the Controller may conduct a more extensive audit which shall be: (</w:t>
      </w:r>
      <w:proofErr w:type="spellStart"/>
      <w:r>
        <w:rPr>
          <w:rFonts w:ascii="Arial" w:hAnsi="Arial" w:cs="Arial"/>
          <w:sz w:val="20"/>
          <w:szCs w:val="20"/>
          <w:lang w:val="en-GB"/>
        </w:rPr>
        <w:t>i</w:t>
      </w:r>
      <w:proofErr w:type="spellEnd"/>
      <w:r>
        <w:rPr>
          <w:rFonts w:ascii="Arial" w:hAnsi="Arial" w:cs="Arial"/>
          <w:sz w:val="20"/>
          <w:szCs w:val="20"/>
          <w:lang w:val="en-GB"/>
        </w:rPr>
        <w:t xml:space="preserve">) at the Controller’s expense; (ii) limited in scope to matters specific to the Controller and agreed in advance; (iii) carried out during the Processor’s usual business hours and upon reasonable notice which shall be not less than 4 weeks unless an identifiable material issue has arisen; and (iv) conducted in a way which does not interfere with the Processor’s day-to-day business. </w:t>
      </w:r>
    </w:p>
    <w:p w14:paraId="4360DF5F"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This clause shall not modify or limit the rights of audit of the Controller, instead it is intended to clarify the procedures in respect of any audit undertaken pursuant thereto.</w:t>
      </w:r>
    </w:p>
    <w:p w14:paraId="76660C89"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Personal Data Breach</w:t>
      </w:r>
    </w:p>
    <w:p w14:paraId="43FBD97B" w14:textId="77777777" w:rsidR="007E3D5F" w:rsidRPr="0006378C" w:rsidRDefault="007E3D5F">
      <w:pPr>
        <w:numPr>
          <w:ilvl w:val="1"/>
          <w:numId w:val="10"/>
        </w:numPr>
        <w:tabs>
          <w:tab w:val="left" w:pos="709"/>
        </w:tabs>
        <w:spacing w:after="120"/>
        <w:ind w:left="709" w:hanging="709"/>
        <w:jc w:val="both"/>
        <w:rPr>
          <w:lang w:val="en-US"/>
        </w:rPr>
      </w:pPr>
      <w:r>
        <w:rPr>
          <w:rFonts w:ascii="Arial" w:hAnsi="Arial" w:cs="Arial"/>
          <w:sz w:val="20"/>
          <w:szCs w:val="20"/>
          <w:lang w:val="en-GB"/>
        </w:rPr>
        <w:t xml:space="preserve">The Processor shall notify the Controller without undue delay after becoming aware of (and in any event within 72 hours of discovering) any accidental or unlawful destruction, loss, </w:t>
      </w:r>
      <w:r>
        <w:rPr>
          <w:rFonts w:ascii="Arial" w:hAnsi="Arial" w:cs="Arial"/>
          <w:sz w:val="20"/>
          <w:szCs w:val="20"/>
          <w:lang w:val="en-GB"/>
        </w:rPr>
        <w:lastRenderedPageBreak/>
        <w:t>alteration or unauthorised disclosure or access to any Personal Data (“</w:t>
      </w:r>
      <w:r>
        <w:rPr>
          <w:rFonts w:ascii="Arial" w:hAnsi="Arial" w:cs="Arial"/>
          <w:b/>
          <w:bCs/>
          <w:sz w:val="20"/>
          <w:szCs w:val="20"/>
          <w:lang w:val="en-GB"/>
        </w:rPr>
        <w:t>Personal</w:t>
      </w:r>
      <w:r>
        <w:rPr>
          <w:rFonts w:ascii="Arial" w:hAnsi="Arial" w:cs="Arial"/>
          <w:sz w:val="20"/>
          <w:szCs w:val="20"/>
          <w:lang w:val="en-GB"/>
        </w:rPr>
        <w:t xml:space="preserve"> </w:t>
      </w:r>
      <w:r>
        <w:rPr>
          <w:rFonts w:ascii="Arial" w:hAnsi="Arial" w:cs="Arial"/>
          <w:b/>
          <w:sz w:val="20"/>
          <w:szCs w:val="20"/>
          <w:lang w:val="en-GB"/>
        </w:rPr>
        <w:t>Data Breach</w:t>
      </w:r>
      <w:r>
        <w:rPr>
          <w:rFonts w:ascii="Arial" w:hAnsi="Arial" w:cs="Arial"/>
          <w:sz w:val="20"/>
          <w:szCs w:val="20"/>
          <w:lang w:val="en-GB"/>
        </w:rPr>
        <w:t xml:space="preserve">”). </w:t>
      </w:r>
    </w:p>
    <w:p w14:paraId="2FD32B50"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Processor shall take all commercially reasonable measures to secure the Personal Data, to limit the effects of any Personal Data Breach, and to assist the Controller in meeting the Controller’s obligations under applicable law. </w:t>
      </w:r>
    </w:p>
    <w:p w14:paraId="5331578E"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Compliance,</w:t>
      </w:r>
      <w:r>
        <w:rPr>
          <w:rFonts w:ascii="Arial" w:hAnsi="Arial" w:cs="Arial"/>
          <w:sz w:val="20"/>
          <w:szCs w:val="20"/>
          <w:lang w:val="en-GB"/>
        </w:rPr>
        <w:t xml:space="preserve"> </w:t>
      </w:r>
      <w:r>
        <w:rPr>
          <w:rFonts w:ascii="Arial" w:hAnsi="Arial" w:cs="Arial"/>
          <w:b/>
          <w:sz w:val="20"/>
          <w:szCs w:val="20"/>
          <w:lang w:val="en-GB"/>
        </w:rPr>
        <w:t>Cooperation and Response</w:t>
      </w:r>
    </w:p>
    <w:p w14:paraId="26F8C4F8"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Processor will notify the Controller promptly of any request or complaint regarding the processing of Personal Data, which adversely impacts the Controller, unless such notification is not permitted under applicable law or a relevant court order. </w:t>
      </w:r>
    </w:p>
    <w:p w14:paraId="30A92487"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Processor may make copies of and/or retain Personal Data in compliance with any legal or regulatory requirement including, but not limited to, retention requirements. </w:t>
      </w:r>
    </w:p>
    <w:p w14:paraId="63EB1EFD"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shall reasonably assist the Controller in meeting the Controller’s obligation to carry out data protection impact assessments (DPIAs), taking into account the nature of the processing and the information available to the Processor.</w:t>
      </w:r>
    </w:p>
    <w:p w14:paraId="4E10C8D8"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Controller shall notify the Processor within a reasonable time, of any changes to applicable data protection laws, codes or regulations which may affect the contractual duties of the Processor. The Processor shall respond within a reasonable timeframe in respect of any changes that need to be made to the terms of this DPA or to the technical and organisational measures to maintain compliance. If the Processor is unable to accommodate necessary changes, the Controller may terminate the part or parts of the Services which give rise to the non-compliance. To the extent that other parts of the Services provided are not affected by such changes, the provision of those Services shall remain unaffected.</w:t>
      </w:r>
    </w:p>
    <w:p w14:paraId="74F5E6C0"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Controller and the Processor and, where applicable, their representatives, shall cooperate, on request, with a Supervisory Authority in the performance of their respective obligations under this DPA and Data Protection Law. </w:t>
      </w:r>
    </w:p>
    <w:p w14:paraId="18A23D40"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Liability</w:t>
      </w:r>
    </w:p>
    <w:p w14:paraId="23149080"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limitations on liability set out in the Agreement apply to all claims made pursuant to any breach of the terms of this DPA. </w:t>
      </w:r>
    </w:p>
    <w:p w14:paraId="66F84694"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parties agree that the Processor shall be liable for any breaches of this DPA caused by the acts and omissions or negligence of its Sub-processors to the same extent the Processor would be liable if performing the services of each Sub-processor directly under the terms of the DPA, subject to any limitations on liability set out in the terms of the Agreement.</w:t>
      </w:r>
    </w:p>
    <w:p w14:paraId="5DB891ED"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parties agree that the Controller shall be liable for any </w:t>
      </w:r>
      <w:r>
        <w:rPr>
          <w:rFonts w:ascii="Arial" w:hAnsi="Arial" w:cs="Arial"/>
          <w:sz w:val="20"/>
          <w:lang w:val="en-GB"/>
        </w:rPr>
        <w:t>breaches of this</w:t>
      </w:r>
      <w:r>
        <w:rPr>
          <w:rFonts w:ascii="Arial" w:hAnsi="Arial" w:cs="Arial"/>
          <w:sz w:val="20"/>
          <w:szCs w:val="20"/>
          <w:lang w:val="en-GB"/>
        </w:rPr>
        <w:t xml:space="preserve"> DPA caused by the acts and omissions or negligence of its Affiliates </w:t>
      </w:r>
      <w:r>
        <w:rPr>
          <w:rFonts w:ascii="Arial" w:hAnsi="Arial" w:cs="Arial"/>
          <w:sz w:val="20"/>
          <w:lang w:val="en-GB"/>
        </w:rPr>
        <w:t>as if such acts, omissions or negligence had been committed by the Controller itself.</w:t>
      </w:r>
    </w:p>
    <w:p w14:paraId="0CC31C19"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Controller shall not be entitled to recover more than once in respect of the same loss.</w:t>
      </w:r>
    </w:p>
    <w:p w14:paraId="3419AD3F"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Term and Termination</w:t>
      </w:r>
      <w:r>
        <w:rPr>
          <w:rFonts w:ascii="Arial" w:hAnsi="Arial" w:cs="Arial"/>
          <w:sz w:val="20"/>
          <w:szCs w:val="20"/>
          <w:lang w:val="en-GB"/>
        </w:rPr>
        <w:t xml:space="preserve"> </w:t>
      </w:r>
    </w:p>
    <w:p w14:paraId="58180C46"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The Processor will only process Personal Data for the term of the DPA. The term of this DPA shall coincide with the commencement of the Agreement and this DPA shall terminate automatically together with termination or expiry of the Agreement.</w:t>
      </w:r>
    </w:p>
    <w:p w14:paraId="2D9BB0B9"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Deletion and Return of Personal Data</w:t>
      </w:r>
    </w:p>
    <w:p w14:paraId="48D77423"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 xml:space="preserve">The Processor shall at the choice of the Controller, upon receipt of a written request received within 30 days of the end of the provision of the </w:t>
      </w:r>
      <w:r>
        <w:rPr>
          <w:rFonts w:ascii="Arial" w:hAnsi="Arial" w:cs="Arial"/>
          <w:sz w:val="20"/>
          <w:szCs w:val="20"/>
          <w:lang w:val="en-GB" w:eastAsia="en-GB"/>
        </w:rPr>
        <w:t>Services</w:t>
      </w:r>
      <w:r>
        <w:rPr>
          <w:rFonts w:ascii="Arial" w:hAnsi="Arial" w:cs="Arial"/>
          <w:sz w:val="20"/>
          <w:szCs w:val="20"/>
          <w:lang w:val="en-GB"/>
        </w:rPr>
        <w:t>, delete or return Personal Data to the Controller. The Processor shall in any event delete</w:t>
      </w:r>
      <w:r>
        <w:rPr>
          <w:rFonts w:ascii="Times" w:hAnsi="Times" w:cs="Times"/>
          <w:color w:val="000000"/>
          <w:sz w:val="26"/>
          <w:szCs w:val="26"/>
          <w:lang w:val="en-GB"/>
        </w:rPr>
        <w:t xml:space="preserve"> </w:t>
      </w:r>
      <w:r>
        <w:rPr>
          <w:rFonts w:ascii="Arial" w:hAnsi="Arial" w:cs="Arial"/>
          <w:sz w:val="20"/>
          <w:szCs w:val="20"/>
          <w:lang w:val="en-GB"/>
        </w:rPr>
        <w:t>all copies of Personal Data in its systems within 6 months of the effective date of termination of the Agreement unless: (</w:t>
      </w:r>
      <w:proofErr w:type="spellStart"/>
      <w:r>
        <w:rPr>
          <w:rFonts w:ascii="Arial" w:hAnsi="Arial" w:cs="Arial"/>
          <w:sz w:val="20"/>
          <w:szCs w:val="20"/>
          <w:lang w:val="en-GB"/>
        </w:rPr>
        <w:t>i</w:t>
      </w:r>
      <w:proofErr w:type="spellEnd"/>
      <w:r>
        <w:rPr>
          <w:rFonts w:ascii="Arial" w:hAnsi="Arial" w:cs="Arial"/>
          <w:sz w:val="20"/>
          <w:szCs w:val="20"/>
          <w:lang w:val="en-GB"/>
        </w:rPr>
        <w:t>) applicable law or regulations require storage of the Personal Data after termination; or (ii) partial Personal Data of the Controller is stored in backups, then such Personal Data shall be deleted from backups up to 1 year after the effective date of termination of the Agreement.</w:t>
      </w:r>
    </w:p>
    <w:p w14:paraId="0C8F2EC5" w14:textId="77777777" w:rsidR="007E3D5F" w:rsidRDefault="007E3D5F">
      <w:pPr>
        <w:pStyle w:val="FarbigeListe-Akzent11"/>
        <w:numPr>
          <w:ilvl w:val="0"/>
          <w:numId w:val="10"/>
        </w:numPr>
        <w:spacing w:after="120"/>
        <w:ind w:left="709" w:hanging="709"/>
        <w:jc w:val="both"/>
      </w:pPr>
      <w:r>
        <w:rPr>
          <w:rFonts w:ascii="Arial" w:hAnsi="Arial" w:cs="Arial"/>
          <w:b/>
          <w:sz w:val="20"/>
          <w:szCs w:val="20"/>
          <w:lang w:val="en-GB"/>
        </w:rPr>
        <w:t>General</w:t>
      </w:r>
    </w:p>
    <w:p w14:paraId="6C01FD0D"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This DPA sets out the entire understanding of the parties with regards to the subject matter herein.</w:t>
      </w:r>
    </w:p>
    <w:p w14:paraId="2355D27C"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lang w:val="en-GB"/>
        </w:rPr>
        <w:t>Should a provision of this DPA be invalid or become invalid then the legal effect of the other provisions shall be unaffected. A valid provision is deemed to have been agreed which comes closest to what the parties intended commercially and shall replace the invalid provision. The same shall apply to any omissions.</w:t>
      </w:r>
    </w:p>
    <w:p w14:paraId="2E78B524" w14:textId="77777777" w:rsidR="007E3D5F" w:rsidRDefault="007E3D5F">
      <w:pPr>
        <w:pStyle w:val="FarbigeListe-Akzent11"/>
        <w:numPr>
          <w:ilvl w:val="1"/>
          <w:numId w:val="10"/>
        </w:numPr>
        <w:tabs>
          <w:tab w:val="left" w:pos="709"/>
        </w:tabs>
        <w:spacing w:after="120" w:line="240" w:lineRule="auto"/>
        <w:ind w:left="709" w:hanging="709"/>
        <w:jc w:val="both"/>
      </w:pPr>
      <w:r>
        <w:rPr>
          <w:rFonts w:ascii="Arial" w:hAnsi="Arial" w:cs="Arial"/>
          <w:sz w:val="20"/>
          <w:szCs w:val="20"/>
          <w:lang w:val="en-GB"/>
        </w:rPr>
        <w:t>Subject to any provision of the SCCs to the contrary, this DPA shall be governed by the laws of England and Wales. The courts of England shall have exclusive jurisdiction for the settlement of all disputes arising under this DPA.</w:t>
      </w:r>
    </w:p>
    <w:p w14:paraId="67C9F49A" w14:textId="77777777" w:rsidR="007E3D5F" w:rsidRPr="0006378C" w:rsidRDefault="007E3D5F" w:rsidP="009C19B6">
      <w:pPr>
        <w:pStyle w:val="FarbigeListe-Akzent11"/>
        <w:numPr>
          <w:ilvl w:val="1"/>
          <w:numId w:val="10"/>
        </w:numPr>
        <w:tabs>
          <w:tab w:val="left" w:pos="709"/>
        </w:tabs>
        <w:spacing w:after="120" w:line="240" w:lineRule="auto"/>
        <w:ind w:left="709" w:hanging="709"/>
        <w:jc w:val="both"/>
        <w:rPr>
          <w:lang w:val="en-US"/>
        </w:rPr>
        <w:sectPr w:rsidR="007E3D5F" w:rsidRPr="0006378C">
          <w:headerReference w:type="even" r:id="rId9"/>
          <w:headerReference w:type="default" r:id="rId10"/>
          <w:footerReference w:type="even" r:id="rId11"/>
          <w:footerReference w:type="default" r:id="rId12"/>
          <w:headerReference w:type="first" r:id="rId13"/>
          <w:footerReference w:type="first" r:id="rId14"/>
          <w:pgSz w:w="11906" w:h="16838"/>
          <w:pgMar w:top="1247" w:right="1418" w:bottom="1134" w:left="1418" w:header="709" w:footer="709" w:gutter="0"/>
          <w:cols w:space="720"/>
          <w:docGrid w:linePitch="360"/>
        </w:sectPr>
      </w:pPr>
      <w:r>
        <w:rPr>
          <w:rFonts w:ascii="Arial" w:hAnsi="Arial" w:cs="Arial"/>
          <w:sz w:val="20"/>
          <w:szCs w:val="20"/>
          <w:lang w:val="en-GB"/>
        </w:rPr>
        <w:t>The parties agree that this DPA is incorporated into and governed by the terms of the Agreement.</w:t>
      </w:r>
    </w:p>
    <w:p w14:paraId="49B99F92" w14:textId="77777777" w:rsidR="007E3D5F" w:rsidRDefault="007E3D5F">
      <w:pPr>
        <w:widowControl w:val="0"/>
        <w:spacing w:after="240" w:line="240" w:lineRule="atLeast"/>
        <w:jc w:val="both"/>
        <w:rPr>
          <w:rFonts w:ascii="Arial" w:hAnsi="Arial" w:cs="Arial"/>
          <w:sz w:val="20"/>
          <w:szCs w:val="20"/>
          <w:lang w:val="en-GB" w:eastAsia="en-GB"/>
        </w:rPr>
      </w:pPr>
    </w:p>
    <w:p w14:paraId="712B85E5" w14:textId="77777777" w:rsidR="007E3D5F" w:rsidRDefault="007E3D5F">
      <w:pPr>
        <w:spacing w:after="120"/>
        <w:jc w:val="center"/>
        <w:rPr>
          <w:rFonts w:ascii="Arial" w:hAnsi="Arial" w:cs="Arial"/>
          <w:b/>
          <w:sz w:val="20"/>
          <w:szCs w:val="20"/>
          <w:u w:val="single"/>
          <w:lang w:val="en-GB" w:eastAsia="nl-NL"/>
        </w:rPr>
      </w:pPr>
    </w:p>
    <w:p w14:paraId="2DBC8493" w14:textId="77777777" w:rsidR="007E3D5F" w:rsidRPr="0006378C" w:rsidRDefault="007E3D5F">
      <w:pPr>
        <w:spacing w:after="120"/>
        <w:jc w:val="center"/>
        <w:rPr>
          <w:lang w:val="en-US"/>
        </w:rPr>
      </w:pPr>
      <w:r>
        <w:rPr>
          <w:rFonts w:ascii="Arial" w:hAnsi="Arial" w:cs="Arial"/>
          <w:b/>
          <w:sz w:val="20"/>
          <w:szCs w:val="20"/>
          <w:u w:val="single"/>
          <w:lang w:val="en-GB" w:eastAsia="nl-NL"/>
        </w:rPr>
        <w:t>Exhibit A</w:t>
      </w:r>
    </w:p>
    <w:p w14:paraId="3436C1E9" w14:textId="77777777" w:rsidR="007E3D5F" w:rsidRPr="0006378C" w:rsidRDefault="007E3D5F">
      <w:pPr>
        <w:spacing w:after="260" w:line="288" w:lineRule="auto"/>
        <w:jc w:val="center"/>
        <w:rPr>
          <w:lang w:val="en-US"/>
        </w:rPr>
      </w:pPr>
      <w:r>
        <w:rPr>
          <w:rFonts w:ascii="Arial" w:hAnsi="Arial" w:cs="Arial"/>
          <w:b/>
          <w:sz w:val="20"/>
          <w:szCs w:val="20"/>
          <w:lang w:val="en-GB" w:eastAsia="nl-NL"/>
        </w:rPr>
        <w:t>List of Parties, Description of Processing and Transfer of Personal Data, Competent Supervisory Authority</w:t>
      </w:r>
    </w:p>
    <w:p w14:paraId="33B9DE90" w14:textId="77777777" w:rsidR="007E3D5F" w:rsidRDefault="007E3D5F">
      <w:pPr>
        <w:pStyle w:val="Normal12"/>
        <w:spacing w:line="240" w:lineRule="auto"/>
      </w:pPr>
      <w:r>
        <w:rPr>
          <w:b/>
          <w:bCs/>
          <w:szCs w:val="20"/>
        </w:rPr>
        <w:t>A.</w:t>
      </w:r>
      <w:r>
        <w:rPr>
          <w:b/>
          <w:bCs/>
          <w:szCs w:val="20"/>
        </w:rPr>
        <w:tab/>
        <w:t>LIST OF PARTIES</w:t>
      </w:r>
    </w:p>
    <w:p w14:paraId="7C9C08C2" w14:textId="77777777" w:rsidR="007E3D5F" w:rsidRDefault="007E3D5F">
      <w:pPr>
        <w:pStyle w:val="Normal12"/>
        <w:spacing w:line="240" w:lineRule="auto"/>
      </w:pPr>
      <w:r>
        <w:rPr>
          <w:b/>
          <w:bCs/>
          <w:color w:val="000000"/>
          <w:szCs w:val="20"/>
        </w:rPr>
        <w:t xml:space="preserve">The </w:t>
      </w:r>
      <w:r w:rsidR="0006378C">
        <w:rPr>
          <w:b/>
          <w:bCs/>
          <w:color w:val="000000"/>
          <w:szCs w:val="20"/>
        </w:rPr>
        <w:t>Exporter</w:t>
      </w:r>
      <w:r>
        <w:rPr>
          <w:b/>
          <w:bCs/>
          <w:color w:val="000000"/>
          <w:szCs w:val="20"/>
        </w:rPr>
        <w:t xml:space="preserve">: </w:t>
      </w:r>
    </w:p>
    <w:tbl>
      <w:tblPr>
        <w:tblW w:w="0" w:type="auto"/>
        <w:tblInd w:w="108" w:type="dxa"/>
        <w:tblLayout w:type="fixed"/>
        <w:tblLook w:val="0000" w:firstRow="0" w:lastRow="0" w:firstColumn="0" w:lastColumn="0" w:noHBand="0" w:noVBand="0"/>
      </w:tblPr>
      <w:tblGrid>
        <w:gridCol w:w="3130"/>
        <w:gridCol w:w="6088"/>
      </w:tblGrid>
      <w:tr w:rsidR="007E3D5F" w14:paraId="398B4B44" w14:textId="77777777">
        <w:tc>
          <w:tcPr>
            <w:tcW w:w="9218" w:type="dxa"/>
            <w:gridSpan w:val="2"/>
            <w:tcBorders>
              <w:top w:val="single" w:sz="4" w:space="0" w:color="000000"/>
              <w:left w:val="single" w:sz="4" w:space="0" w:color="000000"/>
              <w:bottom w:val="single" w:sz="4" w:space="0" w:color="000000"/>
              <w:right w:val="single" w:sz="4" w:space="0" w:color="000000"/>
            </w:tcBorders>
            <w:shd w:val="clear" w:color="auto" w:fill="auto"/>
          </w:tcPr>
          <w:p w14:paraId="09090180" w14:textId="77777777" w:rsidR="007E3D5F" w:rsidRDefault="007E3D5F">
            <w:pPr>
              <w:pStyle w:val="Normal12"/>
              <w:spacing w:line="240" w:lineRule="auto"/>
            </w:pPr>
            <w:r>
              <w:rPr>
                <w:szCs w:val="20"/>
              </w:rPr>
              <w:t>means the Customer.</w:t>
            </w:r>
          </w:p>
        </w:tc>
      </w:tr>
      <w:tr w:rsidR="007E3D5F" w:rsidRPr="0006378C" w14:paraId="7C0A27BC" w14:textId="77777777">
        <w:tc>
          <w:tcPr>
            <w:tcW w:w="3130" w:type="dxa"/>
            <w:tcBorders>
              <w:top w:val="single" w:sz="4" w:space="0" w:color="000000"/>
              <w:left w:val="single" w:sz="4" w:space="0" w:color="000000"/>
              <w:bottom w:val="single" w:sz="4" w:space="0" w:color="000000"/>
            </w:tcBorders>
            <w:shd w:val="clear" w:color="auto" w:fill="auto"/>
          </w:tcPr>
          <w:p w14:paraId="2FD33949" w14:textId="77777777" w:rsidR="007E3D5F" w:rsidRDefault="007E3D5F">
            <w:pPr>
              <w:pStyle w:val="Normal12"/>
              <w:spacing w:line="240" w:lineRule="auto"/>
              <w:jc w:val="left"/>
            </w:pPr>
            <w:r>
              <w:rPr>
                <w:b/>
                <w:bCs/>
                <w:color w:val="44546A"/>
                <w:szCs w:val="20"/>
              </w:rPr>
              <w:t>Address:</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5549673B" w14:textId="77777777" w:rsidR="007E3D5F" w:rsidRDefault="007E3D5F">
            <w:pPr>
              <w:pStyle w:val="Normal12"/>
              <w:spacing w:line="240" w:lineRule="auto"/>
            </w:pPr>
            <w:r>
              <w:rPr>
                <w:szCs w:val="20"/>
              </w:rPr>
              <w:t>As set out for the Customer in the Agreement.</w:t>
            </w:r>
          </w:p>
        </w:tc>
      </w:tr>
      <w:tr w:rsidR="007E3D5F" w:rsidRPr="0006378C" w14:paraId="36C747DD" w14:textId="77777777">
        <w:tc>
          <w:tcPr>
            <w:tcW w:w="3130" w:type="dxa"/>
            <w:tcBorders>
              <w:top w:val="single" w:sz="4" w:space="0" w:color="000000"/>
              <w:left w:val="single" w:sz="4" w:space="0" w:color="000000"/>
              <w:bottom w:val="single" w:sz="4" w:space="0" w:color="000000"/>
            </w:tcBorders>
            <w:shd w:val="clear" w:color="auto" w:fill="auto"/>
          </w:tcPr>
          <w:p w14:paraId="2CA34751" w14:textId="77777777" w:rsidR="007E3D5F" w:rsidRDefault="007E3D5F">
            <w:pPr>
              <w:pStyle w:val="Normal12"/>
              <w:spacing w:line="240" w:lineRule="auto"/>
              <w:jc w:val="left"/>
            </w:pPr>
            <w:r>
              <w:rPr>
                <w:b/>
                <w:bCs/>
                <w:color w:val="44546A"/>
                <w:szCs w:val="20"/>
              </w:rPr>
              <w:t>Contact person’s name, position and contact details:</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0EF3B72F" w14:textId="77777777" w:rsidR="007E3D5F" w:rsidRDefault="007E3D5F">
            <w:pPr>
              <w:pStyle w:val="Normal12"/>
              <w:spacing w:line="240" w:lineRule="auto"/>
            </w:pPr>
            <w:r>
              <w:rPr>
                <w:szCs w:val="20"/>
              </w:rPr>
              <w:t>As provided by the Customer in its account and used for notification and invoicing purposes.</w:t>
            </w:r>
          </w:p>
        </w:tc>
      </w:tr>
      <w:tr w:rsidR="007E3D5F" w14:paraId="0E2E5A16" w14:textId="77777777">
        <w:tc>
          <w:tcPr>
            <w:tcW w:w="3130" w:type="dxa"/>
            <w:tcBorders>
              <w:top w:val="single" w:sz="4" w:space="0" w:color="000000"/>
              <w:left w:val="single" w:sz="4" w:space="0" w:color="000000"/>
              <w:bottom w:val="single" w:sz="4" w:space="0" w:color="000000"/>
            </w:tcBorders>
            <w:shd w:val="clear" w:color="auto" w:fill="auto"/>
          </w:tcPr>
          <w:p w14:paraId="161CAF32" w14:textId="77777777" w:rsidR="007E3D5F" w:rsidRDefault="007E3D5F">
            <w:pPr>
              <w:pStyle w:val="Normal12"/>
              <w:spacing w:line="240" w:lineRule="auto"/>
              <w:jc w:val="left"/>
            </w:pPr>
            <w:r>
              <w:rPr>
                <w:b/>
                <w:bCs/>
                <w:color w:val="44546A"/>
                <w:szCs w:val="20"/>
              </w:rPr>
              <w:t>Activities relevant to the data transferred under the SCCs:</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6579D6B2" w14:textId="77777777" w:rsidR="007E3D5F" w:rsidRDefault="007E3D5F">
            <w:pPr>
              <w:pStyle w:val="Normal12"/>
              <w:spacing w:line="240" w:lineRule="auto"/>
            </w:pPr>
            <w:r>
              <w:rPr>
                <w:szCs w:val="20"/>
              </w:rPr>
              <w:t>Use of the Services.</w:t>
            </w:r>
          </w:p>
        </w:tc>
      </w:tr>
      <w:tr w:rsidR="007E3D5F" w:rsidRPr="0006378C" w14:paraId="7AC69483" w14:textId="77777777">
        <w:tc>
          <w:tcPr>
            <w:tcW w:w="3130" w:type="dxa"/>
            <w:tcBorders>
              <w:top w:val="single" w:sz="4" w:space="0" w:color="000000"/>
              <w:left w:val="single" w:sz="4" w:space="0" w:color="000000"/>
              <w:bottom w:val="single" w:sz="4" w:space="0" w:color="000000"/>
            </w:tcBorders>
            <w:shd w:val="clear" w:color="auto" w:fill="auto"/>
          </w:tcPr>
          <w:p w14:paraId="2342B54B" w14:textId="77777777" w:rsidR="007E3D5F" w:rsidRDefault="007E3D5F">
            <w:pPr>
              <w:pStyle w:val="Normal12"/>
              <w:spacing w:line="240" w:lineRule="auto"/>
              <w:jc w:val="left"/>
            </w:pPr>
            <w:r>
              <w:rPr>
                <w:b/>
                <w:bCs/>
                <w:color w:val="44546A"/>
                <w:szCs w:val="20"/>
              </w:rPr>
              <w:t>Signature and date:</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5131B3AB" w14:textId="77777777" w:rsidR="007E3D5F" w:rsidRDefault="007E3D5F">
            <w:pPr>
              <w:pStyle w:val="Normal12"/>
            </w:pPr>
            <w:r>
              <w:rPr>
                <w:szCs w:val="20"/>
              </w:rPr>
              <w:t>By entering into the Agreement, the Controller is deemed to have signed the SCCs incorporated into this DPA and including their Annexes, as of the Effective Date of the Agreement.</w:t>
            </w:r>
          </w:p>
        </w:tc>
      </w:tr>
      <w:tr w:rsidR="007E3D5F" w14:paraId="00609534" w14:textId="77777777">
        <w:tc>
          <w:tcPr>
            <w:tcW w:w="3130" w:type="dxa"/>
            <w:tcBorders>
              <w:top w:val="single" w:sz="4" w:space="0" w:color="000000"/>
              <w:left w:val="single" w:sz="4" w:space="0" w:color="000000"/>
              <w:bottom w:val="single" w:sz="4" w:space="0" w:color="000000"/>
            </w:tcBorders>
            <w:shd w:val="clear" w:color="auto" w:fill="auto"/>
          </w:tcPr>
          <w:p w14:paraId="2F3C6D49" w14:textId="77777777" w:rsidR="007E3D5F" w:rsidRDefault="007E3D5F">
            <w:pPr>
              <w:pStyle w:val="Normal12"/>
              <w:spacing w:line="240" w:lineRule="auto"/>
              <w:jc w:val="left"/>
            </w:pPr>
            <w:r>
              <w:rPr>
                <w:b/>
                <w:bCs/>
                <w:color w:val="44546A"/>
                <w:szCs w:val="20"/>
              </w:rPr>
              <w:t>Role:</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3C396190" w14:textId="77777777" w:rsidR="007E3D5F" w:rsidRDefault="0006378C">
            <w:pPr>
              <w:pStyle w:val="Normal12"/>
              <w:spacing w:line="240" w:lineRule="auto"/>
            </w:pPr>
            <w:r>
              <w:rPr>
                <w:szCs w:val="20"/>
              </w:rPr>
              <w:t>Controller</w:t>
            </w:r>
            <w:r w:rsidR="007E3D5F">
              <w:rPr>
                <w:szCs w:val="20"/>
              </w:rPr>
              <w:t>.</w:t>
            </w:r>
          </w:p>
        </w:tc>
      </w:tr>
      <w:tr w:rsidR="007E3D5F" w:rsidRPr="0006378C" w14:paraId="7C944E51" w14:textId="77777777">
        <w:tc>
          <w:tcPr>
            <w:tcW w:w="3130" w:type="dxa"/>
            <w:tcBorders>
              <w:top w:val="single" w:sz="4" w:space="0" w:color="000000"/>
              <w:left w:val="single" w:sz="4" w:space="0" w:color="000000"/>
              <w:bottom w:val="single" w:sz="4" w:space="0" w:color="000000"/>
            </w:tcBorders>
            <w:shd w:val="clear" w:color="auto" w:fill="auto"/>
          </w:tcPr>
          <w:p w14:paraId="14488EBC" w14:textId="77777777" w:rsidR="007E3D5F" w:rsidRDefault="007E3D5F">
            <w:pPr>
              <w:pStyle w:val="Normal12"/>
              <w:spacing w:line="240" w:lineRule="auto"/>
              <w:jc w:val="left"/>
            </w:pPr>
            <w:r>
              <w:rPr>
                <w:b/>
                <w:bCs/>
                <w:color w:val="44546A"/>
                <w:szCs w:val="20"/>
              </w:rPr>
              <w:t>Name of Representative (if applicable):</w:t>
            </w:r>
          </w:p>
        </w:tc>
        <w:tc>
          <w:tcPr>
            <w:tcW w:w="6088" w:type="dxa"/>
            <w:tcBorders>
              <w:top w:val="single" w:sz="4" w:space="0" w:color="000000"/>
              <w:left w:val="single" w:sz="4" w:space="0" w:color="000000"/>
              <w:bottom w:val="single" w:sz="4" w:space="0" w:color="000000"/>
              <w:right w:val="single" w:sz="4" w:space="0" w:color="000000"/>
            </w:tcBorders>
            <w:shd w:val="clear" w:color="auto" w:fill="auto"/>
          </w:tcPr>
          <w:p w14:paraId="3E988788" w14:textId="77777777" w:rsidR="007E3D5F" w:rsidRDefault="007E3D5F">
            <w:pPr>
              <w:pStyle w:val="Normal12"/>
              <w:spacing w:line="240" w:lineRule="auto"/>
            </w:pPr>
            <w:r>
              <w:rPr>
                <w:szCs w:val="20"/>
              </w:rPr>
              <w:t>Any UK or EU representative named in the Controller’s privacy policy.</w:t>
            </w:r>
          </w:p>
        </w:tc>
      </w:tr>
    </w:tbl>
    <w:p w14:paraId="608D6AA4" w14:textId="77777777" w:rsidR="007E3D5F" w:rsidRDefault="007E3D5F">
      <w:pPr>
        <w:pStyle w:val="Normal12"/>
        <w:spacing w:line="240" w:lineRule="auto"/>
        <w:rPr>
          <w:szCs w:val="20"/>
        </w:rPr>
      </w:pPr>
    </w:p>
    <w:p w14:paraId="2C41011A" w14:textId="77777777" w:rsidR="007E3D5F" w:rsidRDefault="007E3D5F">
      <w:pPr>
        <w:pStyle w:val="Normal12"/>
        <w:spacing w:line="240" w:lineRule="auto"/>
      </w:pPr>
      <w:r>
        <w:rPr>
          <w:b/>
          <w:bCs/>
          <w:color w:val="000000"/>
          <w:szCs w:val="20"/>
        </w:rPr>
        <w:t xml:space="preserve">The </w:t>
      </w:r>
      <w:r w:rsidR="0006378C">
        <w:rPr>
          <w:b/>
          <w:bCs/>
          <w:color w:val="000000"/>
          <w:szCs w:val="20"/>
        </w:rPr>
        <w:t>Importer</w:t>
      </w:r>
      <w:r>
        <w:rPr>
          <w:b/>
          <w:bCs/>
          <w:color w:val="000000"/>
          <w:szCs w:val="20"/>
        </w:rPr>
        <w:t xml:space="preserve">: </w:t>
      </w:r>
    </w:p>
    <w:tbl>
      <w:tblPr>
        <w:tblW w:w="0" w:type="auto"/>
        <w:tblInd w:w="-20" w:type="dxa"/>
        <w:tblLayout w:type="fixed"/>
        <w:tblLook w:val="0000" w:firstRow="0" w:lastRow="0" w:firstColumn="0" w:lastColumn="0" w:noHBand="0" w:noVBand="0"/>
      </w:tblPr>
      <w:tblGrid>
        <w:gridCol w:w="3240"/>
        <w:gridCol w:w="6086"/>
      </w:tblGrid>
      <w:tr w:rsidR="007E3D5F" w:rsidRPr="0006378C" w14:paraId="66512514" w14:textId="77777777">
        <w:tc>
          <w:tcPr>
            <w:tcW w:w="9326" w:type="dxa"/>
            <w:gridSpan w:val="2"/>
            <w:tcBorders>
              <w:top w:val="single" w:sz="4" w:space="0" w:color="000000"/>
              <w:left w:val="single" w:sz="4" w:space="0" w:color="000000"/>
              <w:bottom w:val="single" w:sz="4" w:space="0" w:color="000000"/>
              <w:right w:val="single" w:sz="4" w:space="0" w:color="000000"/>
            </w:tcBorders>
            <w:shd w:val="clear" w:color="auto" w:fill="auto"/>
          </w:tcPr>
          <w:p w14:paraId="54D40F05" w14:textId="77777777" w:rsidR="007E3D5F" w:rsidRDefault="007E3D5F">
            <w:pPr>
              <w:pStyle w:val="Normal12"/>
              <w:spacing w:line="240" w:lineRule="auto"/>
            </w:pPr>
            <w:r>
              <w:rPr>
                <w:szCs w:val="20"/>
              </w:rPr>
              <w:t>means the Company: Silktide Limited</w:t>
            </w:r>
          </w:p>
        </w:tc>
      </w:tr>
      <w:tr w:rsidR="007E3D5F" w:rsidRPr="0006378C" w14:paraId="294BDCFC" w14:textId="77777777">
        <w:tc>
          <w:tcPr>
            <w:tcW w:w="3240" w:type="dxa"/>
            <w:tcBorders>
              <w:top w:val="single" w:sz="4" w:space="0" w:color="000000"/>
              <w:left w:val="single" w:sz="4" w:space="0" w:color="000000"/>
              <w:bottom w:val="single" w:sz="4" w:space="0" w:color="000000"/>
            </w:tcBorders>
            <w:shd w:val="clear" w:color="auto" w:fill="auto"/>
          </w:tcPr>
          <w:p w14:paraId="5208708B" w14:textId="77777777" w:rsidR="007E3D5F" w:rsidRDefault="007E3D5F">
            <w:pPr>
              <w:pStyle w:val="Normal12"/>
              <w:spacing w:line="240" w:lineRule="auto"/>
              <w:jc w:val="left"/>
            </w:pPr>
            <w:r>
              <w:rPr>
                <w:b/>
                <w:bCs/>
                <w:color w:val="44546A"/>
                <w:szCs w:val="20"/>
              </w:rPr>
              <w:t>Address: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14:paraId="28D25D23" w14:textId="77777777" w:rsidR="007E3D5F" w:rsidRDefault="007E3D5F">
            <w:pPr>
              <w:pStyle w:val="Normal12"/>
            </w:pPr>
            <w:r>
              <w:rPr>
                <w:szCs w:val="20"/>
                <w:lang w:val="en-US"/>
              </w:rPr>
              <w:t xml:space="preserve">Brunel Parkway, Pride Park, Derby DE24 8HR, United Kingdom </w:t>
            </w:r>
          </w:p>
        </w:tc>
      </w:tr>
      <w:tr w:rsidR="007E3D5F" w14:paraId="1374441F" w14:textId="77777777">
        <w:tc>
          <w:tcPr>
            <w:tcW w:w="3240" w:type="dxa"/>
            <w:tcBorders>
              <w:top w:val="single" w:sz="4" w:space="0" w:color="000000"/>
              <w:left w:val="single" w:sz="4" w:space="0" w:color="000000"/>
              <w:bottom w:val="single" w:sz="4" w:space="0" w:color="000000"/>
            </w:tcBorders>
            <w:shd w:val="clear" w:color="auto" w:fill="auto"/>
          </w:tcPr>
          <w:p w14:paraId="5E697E25" w14:textId="77777777" w:rsidR="007E3D5F" w:rsidRDefault="007E3D5F">
            <w:pPr>
              <w:pStyle w:val="Normal12"/>
              <w:spacing w:line="240" w:lineRule="auto"/>
              <w:jc w:val="left"/>
            </w:pPr>
            <w:r>
              <w:rPr>
                <w:b/>
                <w:bCs/>
                <w:color w:val="44546A"/>
                <w:szCs w:val="20"/>
              </w:rPr>
              <w:t>Contact person’s name, position and contact details: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14:paraId="1019400A" w14:textId="77777777" w:rsidR="007E3D5F" w:rsidRDefault="007E3D5F">
            <w:pPr>
              <w:pStyle w:val="Normal12"/>
              <w:spacing w:line="240" w:lineRule="auto"/>
            </w:pPr>
            <w:r>
              <w:rPr>
                <w:szCs w:val="20"/>
              </w:rPr>
              <w:t xml:space="preserve">Andrew Waite, </w:t>
            </w:r>
          </w:p>
          <w:p w14:paraId="33BA7702" w14:textId="77777777" w:rsidR="007E3D5F" w:rsidRDefault="007E3D5F">
            <w:pPr>
              <w:pStyle w:val="Normal12"/>
              <w:spacing w:line="240" w:lineRule="auto"/>
            </w:pPr>
            <w:r>
              <w:rPr>
                <w:szCs w:val="20"/>
              </w:rPr>
              <w:t xml:space="preserve">Product Manager, </w:t>
            </w:r>
          </w:p>
        </w:tc>
      </w:tr>
      <w:tr w:rsidR="007E3D5F" w:rsidRPr="0006378C" w14:paraId="4A084BBF" w14:textId="77777777">
        <w:tc>
          <w:tcPr>
            <w:tcW w:w="3240" w:type="dxa"/>
            <w:tcBorders>
              <w:top w:val="single" w:sz="4" w:space="0" w:color="000000"/>
              <w:left w:val="single" w:sz="4" w:space="0" w:color="000000"/>
              <w:bottom w:val="single" w:sz="4" w:space="0" w:color="000000"/>
            </w:tcBorders>
            <w:shd w:val="clear" w:color="auto" w:fill="auto"/>
          </w:tcPr>
          <w:p w14:paraId="6E661C2C" w14:textId="77777777" w:rsidR="007E3D5F" w:rsidRDefault="007E3D5F">
            <w:pPr>
              <w:pStyle w:val="Normal12"/>
              <w:spacing w:line="240" w:lineRule="auto"/>
              <w:jc w:val="left"/>
            </w:pPr>
            <w:r>
              <w:rPr>
                <w:b/>
                <w:bCs/>
                <w:color w:val="44546A"/>
                <w:szCs w:val="20"/>
              </w:rPr>
              <w:t>Activities relevant to the data transferred under the SCCs: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14:paraId="5E53A5B0" w14:textId="77777777" w:rsidR="007E3D5F" w:rsidRDefault="007E3D5F">
            <w:pPr>
              <w:pStyle w:val="Normal12"/>
              <w:spacing w:line="240" w:lineRule="auto"/>
            </w:pPr>
            <w:r>
              <w:rPr>
                <w:szCs w:val="20"/>
              </w:rPr>
              <w:t xml:space="preserve">The provision of cloud computing solutions to the Controller under which the Processor processes Personal Data upon the instructions of the Controller in accordance with the terms of the </w:t>
            </w:r>
            <w:r>
              <w:rPr>
                <w:szCs w:val="20"/>
              </w:rPr>
              <w:lastRenderedPageBreak/>
              <w:t>Agreement.</w:t>
            </w:r>
          </w:p>
        </w:tc>
      </w:tr>
      <w:tr w:rsidR="007E3D5F" w:rsidRPr="0006378C" w14:paraId="6AF062B4" w14:textId="77777777">
        <w:tc>
          <w:tcPr>
            <w:tcW w:w="3240" w:type="dxa"/>
            <w:tcBorders>
              <w:top w:val="single" w:sz="4" w:space="0" w:color="000000"/>
              <w:left w:val="single" w:sz="4" w:space="0" w:color="000000"/>
              <w:bottom w:val="single" w:sz="4" w:space="0" w:color="000000"/>
            </w:tcBorders>
            <w:shd w:val="clear" w:color="auto" w:fill="auto"/>
          </w:tcPr>
          <w:p w14:paraId="3B4EAD10" w14:textId="77777777" w:rsidR="007E3D5F" w:rsidRDefault="007E3D5F">
            <w:pPr>
              <w:pStyle w:val="Normal12"/>
              <w:spacing w:line="240" w:lineRule="auto"/>
              <w:jc w:val="left"/>
            </w:pPr>
            <w:r>
              <w:rPr>
                <w:b/>
                <w:bCs/>
                <w:color w:val="44546A"/>
                <w:szCs w:val="20"/>
              </w:rPr>
              <w:lastRenderedPageBreak/>
              <w:t>Signature and date:</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14:paraId="54520E03" w14:textId="77777777" w:rsidR="007E3D5F" w:rsidRDefault="007E3D5F">
            <w:pPr>
              <w:pStyle w:val="Normal12"/>
            </w:pPr>
            <w:r>
              <w:rPr>
                <w:szCs w:val="20"/>
              </w:rPr>
              <w:t>By entering into the Agreement, the Processor is deemed to have signed the SCCs, incorporated into this DPA, including their Annexes, as of the Effective Date of the Agreement.</w:t>
            </w:r>
          </w:p>
        </w:tc>
      </w:tr>
      <w:tr w:rsidR="007E3D5F" w14:paraId="62710982" w14:textId="77777777">
        <w:tc>
          <w:tcPr>
            <w:tcW w:w="3240" w:type="dxa"/>
            <w:tcBorders>
              <w:top w:val="single" w:sz="4" w:space="0" w:color="000000"/>
              <w:left w:val="single" w:sz="4" w:space="0" w:color="000000"/>
              <w:bottom w:val="single" w:sz="4" w:space="0" w:color="000000"/>
            </w:tcBorders>
            <w:shd w:val="clear" w:color="auto" w:fill="auto"/>
          </w:tcPr>
          <w:p w14:paraId="23077686" w14:textId="77777777" w:rsidR="007E3D5F" w:rsidRDefault="007E3D5F">
            <w:pPr>
              <w:pStyle w:val="Normal12"/>
              <w:spacing w:line="240" w:lineRule="auto"/>
              <w:jc w:val="left"/>
            </w:pPr>
            <w:r>
              <w:rPr>
                <w:b/>
                <w:bCs/>
                <w:color w:val="44546A"/>
                <w:szCs w:val="20"/>
              </w:rPr>
              <w:t>Role:</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14:paraId="705AB224" w14:textId="77777777" w:rsidR="007E3D5F" w:rsidRDefault="0006378C">
            <w:pPr>
              <w:pStyle w:val="Normal12"/>
              <w:spacing w:line="240" w:lineRule="auto"/>
            </w:pPr>
            <w:r>
              <w:rPr>
                <w:szCs w:val="20"/>
              </w:rPr>
              <w:t>Processor</w:t>
            </w:r>
          </w:p>
        </w:tc>
      </w:tr>
      <w:tr w:rsidR="007E3D5F" w:rsidRPr="0006378C" w14:paraId="6D437C2C" w14:textId="77777777">
        <w:tc>
          <w:tcPr>
            <w:tcW w:w="3240" w:type="dxa"/>
            <w:tcBorders>
              <w:top w:val="single" w:sz="4" w:space="0" w:color="000000"/>
              <w:left w:val="single" w:sz="4" w:space="0" w:color="000000"/>
              <w:bottom w:val="single" w:sz="4" w:space="0" w:color="000000"/>
            </w:tcBorders>
            <w:shd w:val="clear" w:color="auto" w:fill="auto"/>
          </w:tcPr>
          <w:p w14:paraId="2586B8F0" w14:textId="77777777" w:rsidR="007E3D5F" w:rsidRDefault="007E3D5F">
            <w:pPr>
              <w:pStyle w:val="Normal12"/>
              <w:spacing w:line="240" w:lineRule="auto"/>
              <w:jc w:val="left"/>
            </w:pPr>
            <w:r>
              <w:rPr>
                <w:b/>
                <w:bCs/>
                <w:color w:val="44546A"/>
                <w:szCs w:val="20"/>
              </w:rPr>
              <w:t>Name of Representative (if applicable):</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14:paraId="3C719A91" w14:textId="77777777" w:rsidR="007E3D5F" w:rsidRDefault="007E3D5F">
            <w:pPr>
              <w:pStyle w:val="Normal12"/>
              <w:snapToGrid w:val="0"/>
              <w:spacing w:line="240" w:lineRule="auto"/>
            </w:pPr>
            <w:proofErr w:type="spellStart"/>
            <w:r>
              <w:rPr>
                <w:color w:val="44546A"/>
                <w:szCs w:val="20"/>
              </w:rPr>
              <w:t>DataRep</w:t>
            </w:r>
            <w:proofErr w:type="spellEnd"/>
            <w:r>
              <w:rPr>
                <w:color w:val="44546A"/>
                <w:szCs w:val="20"/>
              </w:rPr>
              <w:t>, The Cube, Monahan Road, Cork, T12 H1XY, Republic of Ireland</w:t>
            </w:r>
          </w:p>
        </w:tc>
      </w:tr>
    </w:tbl>
    <w:p w14:paraId="50FF9979" w14:textId="77777777" w:rsidR="007E3D5F" w:rsidRDefault="007E3D5F">
      <w:pPr>
        <w:pStyle w:val="Normal12"/>
        <w:spacing w:line="240" w:lineRule="auto"/>
        <w:rPr>
          <w:szCs w:val="20"/>
        </w:rPr>
      </w:pPr>
    </w:p>
    <w:p w14:paraId="78AF899A" w14:textId="77777777" w:rsidR="007E3D5F" w:rsidRDefault="007E3D5F">
      <w:pPr>
        <w:pStyle w:val="Normal12"/>
        <w:spacing w:line="240" w:lineRule="auto"/>
      </w:pPr>
      <w:r>
        <w:rPr>
          <w:b/>
          <w:bCs/>
          <w:szCs w:val="20"/>
        </w:rPr>
        <w:t>В.</w:t>
      </w:r>
      <w:r>
        <w:rPr>
          <w:b/>
          <w:bCs/>
          <w:szCs w:val="20"/>
        </w:rPr>
        <w:tab/>
        <w:t>DESCRIPTION OF PROCESSING AND TRANSFERS</w:t>
      </w:r>
    </w:p>
    <w:tbl>
      <w:tblPr>
        <w:tblW w:w="0" w:type="auto"/>
        <w:tblInd w:w="-20" w:type="dxa"/>
        <w:tblLayout w:type="fixed"/>
        <w:tblLook w:val="0000" w:firstRow="0" w:lastRow="0" w:firstColumn="0" w:lastColumn="0" w:noHBand="0" w:noVBand="0"/>
      </w:tblPr>
      <w:tblGrid>
        <w:gridCol w:w="3217"/>
        <w:gridCol w:w="6109"/>
      </w:tblGrid>
      <w:tr w:rsidR="007E3D5F" w:rsidRPr="0006378C" w14:paraId="4B00FFE5" w14:textId="77777777">
        <w:tc>
          <w:tcPr>
            <w:tcW w:w="3217" w:type="dxa"/>
            <w:tcBorders>
              <w:top w:val="single" w:sz="4" w:space="0" w:color="000000"/>
              <w:left w:val="single" w:sz="4" w:space="0" w:color="000000"/>
              <w:bottom w:val="single" w:sz="4" w:space="0" w:color="000000"/>
            </w:tcBorders>
            <w:shd w:val="clear" w:color="auto" w:fill="auto"/>
          </w:tcPr>
          <w:p w14:paraId="013EC033" w14:textId="77777777" w:rsidR="007E3D5F" w:rsidRDefault="007E3D5F">
            <w:pPr>
              <w:pStyle w:val="Normal12"/>
              <w:spacing w:line="240" w:lineRule="auto"/>
            </w:pPr>
            <w:r>
              <w:rPr>
                <w:color w:val="44546A"/>
                <w:szCs w:val="20"/>
              </w:rPr>
              <w:t>Categories of data subjects: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F6023B1" w14:textId="77777777" w:rsidR="007E3D5F" w:rsidRDefault="007E3D5F">
            <w:pPr>
              <w:pStyle w:val="Normal12"/>
              <w:spacing w:line="240" w:lineRule="auto"/>
            </w:pPr>
            <w:r>
              <w:rPr>
                <w:szCs w:val="20"/>
              </w:rPr>
              <w:t>Employees, freelancers and contractors of the Controller (who are natural persons).</w:t>
            </w:r>
          </w:p>
          <w:p w14:paraId="06461BDE" w14:textId="77777777" w:rsidR="007E3D5F" w:rsidRDefault="007E3D5F">
            <w:pPr>
              <w:pStyle w:val="Normal12"/>
              <w:spacing w:line="240" w:lineRule="auto"/>
            </w:pPr>
            <w:r>
              <w:rPr>
                <w:szCs w:val="20"/>
              </w:rPr>
              <w:t>Authorised Users, Affiliates, the Customer and other participants authorised by the Controller to access or use the Services in accordance with the terms of the Agreement.</w:t>
            </w:r>
          </w:p>
          <w:p w14:paraId="4AA7B511" w14:textId="77777777" w:rsidR="007E3D5F" w:rsidRDefault="007E3D5F">
            <w:pPr>
              <w:pStyle w:val="Normal12"/>
              <w:spacing w:line="240" w:lineRule="auto"/>
            </w:pPr>
            <w:r>
              <w:rPr>
                <w:szCs w:val="20"/>
              </w:rPr>
              <w:t>Prospects, customers, clients, business partners and vendors of the Controller (who are natural persons) and individuals with whom those end users communicate with by email and/or other messaging media.</w:t>
            </w:r>
          </w:p>
          <w:p w14:paraId="1EDA2777" w14:textId="77777777" w:rsidR="007E3D5F" w:rsidRDefault="007E3D5F">
            <w:pPr>
              <w:pStyle w:val="Normal12"/>
              <w:spacing w:line="240" w:lineRule="auto"/>
            </w:pPr>
            <w:r>
              <w:rPr>
                <w:szCs w:val="20"/>
              </w:rPr>
              <w:t>Employees or contact persons of Controller’s prospects, customers, clients, business partners and vendors.</w:t>
            </w:r>
          </w:p>
          <w:p w14:paraId="3228D55A" w14:textId="77777777" w:rsidR="007E3D5F" w:rsidRDefault="007E3D5F">
            <w:pPr>
              <w:pStyle w:val="Normal12"/>
              <w:spacing w:line="240" w:lineRule="auto"/>
            </w:pPr>
            <w:r>
              <w:rPr>
                <w:szCs w:val="20"/>
              </w:rPr>
              <w:t>Suppliers and service providers of the Controller.</w:t>
            </w:r>
          </w:p>
          <w:p w14:paraId="638D9E5B" w14:textId="77777777" w:rsidR="007E3D5F" w:rsidRDefault="007E3D5F">
            <w:pPr>
              <w:pStyle w:val="Normal12"/>
              <w:spacing w:line="240" w:lineRule="auto"/>
            </w:pPr>
            <w:r>
              <w:rPr>
                <w:szCs w:val="20"/>
              </w:rPr>
              <w:t>Other individuals to the extent identifiable in the context of emails of their attachments or in archiving content.</w:t>
            </w:r>
          </w:p>
        </w:tc>
      </w:tr>
      <w:tr w:rsidR="007E3D5F" w:rsidRPr="0006378C" w14:paraId="71A5BF51" w14:textId="77777777">
        <w:tc>
          <w:tcPr>
            <w:tcW w:w="3217" w:type="dxa"/>
            <w:tcBorders>
              <w:top w:val="single" w:sz="4" w:space="0" w:color="000000"/>
              <w:left w:val="single" w:sz="4" w:space="0" w:color="000000"/>
              <w:bottom w:val="single" w:sz="4" w:space="0" w:color="000000"/>
            </w:tcBorders>
            <w:shd w:val="clear" w:color="auto" w:fill="auto"/>
          </w:tcPr>
          <w:p w14:paraId="0065D12E" w14:textId="77777777" w:rsidR="007E3D5F" w:rsidRDefault="007E3D5F">
            <w:pPr>
              <w:pStyle w:val="Normal12"/>
              <w:spacing w:line="240" w:lineRule="auto"/>
            </w:pPr>
            <w:r>
              <w:rPr>
                <w:color w:val="44546A"/>
                <w:szCs w:val="20"/>
              </w:rPr>
              <w:t>Categories of Personal Data:</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5D169525" w14:textId="77777777" w:rsidR="007E3D5F" w:rsidRDefault="007E3D5F">
            <w:pPr>
              <w:pStyle w:val="Normal12"/>
              <w:spacing w:line="240" w:lineRule="auto"/>
            </w:pPr>
            <w:r>
              <w:rPr>
                <w:szCs w:val="20"/>
              </w:rPr>
              <w:t>The Controller may submit Personal Data to the Services, the extent of which is determined and controlled by the Controller. The Personal Data includes but is not limited to:</w:t>
            </w:r>
          </w:p>
          <w:p w14:paraId="46649890"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Personal details, names, email addresses of Authorised Users of the Services.</w:t>
            </w:r>
          </w:p>
          <w:p w14:paraId="1C3DB8A9"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Unique identifiers such as username, account number or password.</w:t>
            </w:r>
          </w:p>
          <w:p w14:paraId="06E1F7E6"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 xml:space="preserve">Personal Data derived from Authorised User’s use of the Services such as records and business intelligence information. </w:t>
            </w:r>
          </w:p>
          <w:p w14:paraId="25EFF77E"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 xml:space="preserve">Personal Data within email and messaging content which identifies or may reasonably be used to identify, data subjects. </w:t>
            </w:r>
          </w:p>
          <w:p w14:paraId="01F65473"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Meta data including sent, to, from, date, time, subject, which may include Personal Data.</w:t>
            </w:r>
          </w:p>
          <w:p w14:paraId="621271AE"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Data concerning education and profession.</w:t>
            </w:r>
          </w:p>
          <w:p w14:paraId="789FF900"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Survey, feedback and assessment messages.</w:t>
            </w:r>
          </w:p>
          <w:p w14:paraId="2C206F36"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t>Information offered by users as part of support enquiries.</w:t>
            </w:r>
          </w:p>
          <w:p w14:paraId="735727FB" w14:textId="77777777" w:rsidR="007E3D5F" w:rsidRPr="0006378C" w:rsidRDefault="007E3D5F">
            <w:pPr>
              <w:widowControl w:val="0"/>
              <w:numPr>
                <w:ilvl w:val="0"/>
                <w:numId w:val="15"/>
              </w:numPr>
              <w:spacing w:line="240" w:lineRule="atLeast"/>
              <w:jc w:val="both"/>
              <w:rPr>
                <w:lang w:val="en-US"/>
              </w:rPr>
            </w:pPr>
            <w:r>
              <w:rPr>
                <w:rFonts w:ascii="Arial" w:eastAsia="Calibri" w:hAnsi="Arial" w:cs="Arial"/>
                <w:sz w:val="20"/>
                <w:szCs w:val="20"/>
                <w:lang w:val="en-GB" w:eastAsia="en-GB"/>
              </w:rPr>
              <w:lastRenderedPageBreak/>
              <w:t>Other data added by the Controller from time to time.</w:t>
            </w:r>
            <w:r>
              <w:rPr>
                <w:rFonts w:ascii="Arial" w:eastAsia="Calibri" w:hAnsi="Arial" w:cs="Arial"/>
                <w:sz w:val="20"/>
                <w:szCs w:val="20"/>
                <w:lang w:val="en-GB" w:eastAsia="en-GB"/>
              </w:rPr>
              <w:br/>
            </w:r>
          </w:p>
        </w:tc>
      </w:tr>
      <w:tr w:rsidR="007E3D5F" w:rsidRPr="0006378C" w14:paraId="2E0E48BA" w14:textId="77777777">
        <w:tc>
          <w:tcPr>
            <w:tcW w:w="3217" w:type="dxa"/>
            <w:tcBorders>
              <w:top w:val="single" w:sz="4" w:space="0" w:color="000000"/>
              <w:left w:val="single" w:sz="4" w:space="0" w:color="000000"/>
              <w:bottom w:val="single" w:sz="4" w:space="0" w:color="000000"/>
            </w:tcBorders>
            <w:shd w:val="clear" w:color="auto" w:fill="auto"/>
          </w:tcPr>
          <w:p w14:paraId="7EA97F6E" w14:textId="77777777" w:rsidR="007E3D5F" w:rsidRDefault="007E3D5F">
            <w:pPr>
              <w:pStyle w:val="Normal12"/>
              <w:spacing w:line="240" w:lineRule="auto"/>
            </w:pPr>
            <w:r>
              <w:rPr>
                <w:color w:val="44546A"/>
                <w:szCs w:val="20"/>
              </w:rPr>
              <w:lastRenderedPageBreak/>
              <w:t xml:space="preserve">Sensitive Data: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478AACA6" w14:textId="77777777" w:rsidR="007E3D5F" w:rsidRDefault="007E3D5F">
            <w:pPr>
              <w:pStyle w:val="Normal12"/>
              <w:spacing w:line="240" w:lineRule="auto"/>
            </w:pPr>
            <w:r>
              <w:rPr>
                <w:szCs w:val="20"/>
              </w:rPr>
              <w:t>No sensitive data will be processed or transferred and shall not be contained in the content of or attachments to, emails.</w:t>
            </w:r>
          </w:p>
        </w:tc>
      </w:tr>
      <w:tr w:rsidR="007E3D5F" w:rsidRPr="0006378C" w14:paraId="652DE4AF" w14:textId="77777777">
        <w:tc>
          <w:tcPr>
            <w:tcW w:w="3217" w:type="dxa"/>
            <w:tcBorders>
              <w:top w:val="single" w:sz="4" w:space="0" w:color="000000"/>
              <w:left w:val="single" w:sz="4" w:space="0" w:color="000000"/>
              <w:bottom w:val="single" w:sz="4" w:space="0" w:color="000000"/>
            </w:tcBorders>
            <w:shd w:val="clear" w:color="auto" w:fill="auto"/>
          </w:tcPr>
          <w:p w14:paraId="7508DB0A" w14:textId="77777777" w:rsidR="007E3D5F" w:rsidRDefault="007E3D5F">
            <w:pPr>
              <w:pStyle w:val="Normal12"/>
              <w:spacing w:line="240" w:lineRule="auto"/>
            </w:pPr>
            <w:r>
              <w:rPr>
                <w:color w:val="44546A"/>
                <w:szCs w:val="20"/>
              </w:rPr>
              <w:t>The frequency of the processing and transfer (e.g. whether the data is transferred on a one-off or continuous basis):</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FC7F5CE" w14:textId="77777777" w:rsidR="007E3D5F" w:rsidRDefault="007E3D5F">
            <w:pPr>
              <w:pStyle w:val="Normal12"/>
              <w:spacing w:line="240" w:lineRule="auto"/>
            </w:pPr>
            <w:r>
              <w:rPr>
                <w:szCs w:val="20"/>
              </w:rPr>
              <w:t>Continuous basis for the duration of the Agreement.</w:t>
            </w:r>
          </w:p>
        </w:tc>
      </w:tr>
      <w:tr w:rsidR="007E3D5F" w:rsidRPr="0006378C" w14:paraId="021A4243" w14:textId="77777777">
        <w:tc>
          <w:tcPr>
            <w:tcW w:w="3217" w:type="dxa"/>
            <w:tcBorders>
              <w:top w:val="single" w:sz="4" w:space="0" w:color="000000"/>
              <w:left w:val="single" w:sz="4" w:space="0" w:color="000000"/>
              <w:bottom w:val="single" w:sz="4" w:space="0" w:color="000000"/>
            </w:tcBorders>
            <w:shd w:val="clear" w:color="auto" w:fill="auto"/>
          </w:tcPr>
          <w:p w14:paraId="2CAAE95D" w14:textId="77777777" w:rsidR="007E3D5F" w:rsidRDefault="007E3D5F">
            <w:pPr>
              <w:pStyle w:val="Normal12"/>
              <w:spacing w:line="240" w:lineRule="auto"/>
            </w:pPr>
            <w:r>
              <w:rPr>
                <w:color w:val="44546A"/>
                <w:szCs w:val="20"/>
              </w:rPr>
              <w:t>Nature of the processing:</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33C75BD1" w14:textId="77777777" w:rsidR="007E3D5F" w:rsidRDefault="007E3D5F">
            <w:pPr>
              <w:pStyle w:val="Normal12"/>
              <w:spacing w:line="240" w:lineRule="auto"/>
            </w:pPr>
            <w:r>
              <w:rPr>
                <w:szCs w:val="20"/>
              </w:rPr>
              <w:t xml:space="preserve">Processing operations include but are not limited to: allowing the Controller’s employees to log in and use the Services for </w:t>
            </w:r>
            <w:r>
              <w:rPr>
                <w:szCs w:val="20"/>
                <w:lang w:eastAsia="en-GB"/>
              </w:rPr>
              <w:t>monitoring the activity of the aforementioned employees as they use the Services, ; maintaining an exportable log of customer details that are submitted to the Processor as part of the lead generation component of the Services, and storing email addresses as reports are shared with third parties.</w:t>
            </w:r>
          </w:p>
        </w:tc>
      </w:tr>
      <w:tr w:rsidR="007E3D5F" w:rsidRPr="0006378C" w14:paraId="47F4ECB5" w14:textId="77777777">
        <w:tc>
          <w:tcPr>
            <w:tcW w:w="3217" w:type="dxa"/>
            <w:tcBorders>
              <w:top w:val="single" w:sz="4" w:space="0" w:color="000000"/>
              <w:left w:val="single" w:sz="4" w:space="0" w:color="000000"/>
              <w:bottom w:val="single" w:sz="4" w:space="0" w:color="000000"/>
            </w:tcBorders>
            <w:shd w:val="clear" w:color="auto" w:fill="auto"/>
          </w:tcPr>
          <w:p w14:paraId="446CB5F1" w14:textId="77777777" w:rsidR="007E3D5F" w:rsidRDefault="007E3D5F">
            <w:pPr>
              <w:pStyle w:val="Normal12"/>
              <w:spacing w:line="240" w:lineRule="auto"/>
            </w:pPr>
            <w:r>
              <w:rPr>
                <w:color w:val="44546A"/>
                <w:szCs w:val="20"/>
              </w:rPr>
              <w:t>Purpose(s) of the data transfer and further processing:</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198CC1D6" w14:textId="77777777" w:rsidR="007E3D5F" w:rsidRDefault="007E3D5F">
            <w:pPr>
              <w:pStyle w:val="Normal12"/>
              <w:spacing w:line="240" w:lineRule="auto"/>
            </w:pPr>
            <w:r>
              <w:rPr>
                <w:szCs w:val="20"/>
                <w:lang w:eastAsia="en-GB"/>
              </w:rPr>
              <w:t>Personal Data is transferred to sub-contractors who need to process some of the Personal Data in order to provide their services to the Processor as part of the Services provided by the Processor to the Controller</w:t>
            </w:r>
            <w:r>
              <w:rPr>
                <w:szCs w:val="20"/>
              </w:rPr>
              <w:t>.</w:t>
            </w:r>
          </w:p>
        </w:tc>
      </w:tr>
      <w:tr w:rsidR="007E3D5F" w:rsidRPr="0006378C" w14:paraId="70954314" w14:textId="77777777">
        <w:tc>
          <w:tcPr>
            <w:tcW w:w="3217" w:type="dxa"/>
            <w:tcBorders>
              <w:top w:val="single" w:sz="4" w:space="0" w:color="000000"/>
              <w:left w:val="single" w:sz="4" w:space="0" w:color="000000"/>
              <w:bottom w:val="single" w:sz="4" w:space="0" w:color="000000"/>
            </w:tcBorders>
            <w:shd w:val="clear" w:color="auto" w:fill="auto"/>
          </w:tcPr>
          <w:p w14:paraId="1A29BDEA" w14:textId="77777777" w:rsidR="007E3D5F" w:rsidRDefault="007E3D5F">
            <w:pPr>
              <w:pStyle w:val="Normal12"/>
              <w:spacing w:line="240" w:lineRule="auto"/>
            </w:pPr>
            <w:r>
              <w:rPr>
                <w:color w:val="44546A"/>
                <w:szCs w:val="20"/>
              </w:rPr>
              <w:t>The period for which the Personal Data will be retained, or, if that is not possible, the criteria used to determine that period:</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4E676B89" w14:textId="77777777" w:rsidR="007E3D5F" w:rsidRDefault="007E3D5F">
            <w:pPr>
              <w:pStyle w:val="Normal12"/>
              <w:spacing w:line="240" w:lineRule="auto"/>
            </w:pPr>
            <w:r>
              <w:rPr>
                <w:szCs w:val="20"/>
              </w:rPr>
              <w:t>Unless agreed otherwise in writing, for the duration of the Agreement, subject to clause 14 of the DPA.</w:t>
            </w:r>
          </w:p>
        </w:tc>
      </w:tr>
      <w:tr w:rsidR="007E3D5F" w:rsidRPr="0006378C" w14:paraId="20FE9536" w14:textId="77777777">
        <w:tc>
          <w:tcPr>
            <w:tcW w:w="3217" w:type="dxa"/>
            <w:tcBorders>
              <w:top w:val="single" w:sz="4" w:space="0" w:color="000000"/>
              <w:left w:val="single" w:sz="4" w:space="0" w:color="000000"/>
              <w:bottom w:val="single" w:sz="4" w:space="0" w:color="000000"/>
            </w:tcBorders>
            <w:shd w:val="clear" w:color="auto" w:fill="auto"/>
          </w:tcPr>
          <w:p w14:paraId="293B4E14" w14:textId="77777777" w:rsidR="007E3D5F" w:rsidRDefault="007E3D5F">
            <w:pPr>
              <w:pStyle w:val="Normal12"/>
              <w:spacing w:line="240" w:lineRule="auto"/>
            </w:pPr>
            <w:r>
              <w:rPr>
                <w:color w:val="44546A"/>
                <w:szCs w:val="20"/>
              </w:rPr>
              <w:t xml:space="preserve">For transfers to (Sub-) processors, also specify subject matter, nature and duration of the processing: </w:t>
            </w:r>
          </w:p>
        </w:tc>
        <w:tc>
          <w:tcPr>
            <w:tcW w:w="6109" w:type="dxa"/>
            <w:tcBorders>
              <w:top w:val="single" w:sz="4" w:space="0" w:color="000000"/>
              <w:left w:val="single" w:sz="4" w:space="0" w:color="000000"/>
              <w:bottom w:val="single" w:sz="4" w:space="0" w:color="000000"/>
              <w:right w:val="single" w:sz="4" w:space="0" w:color="000000"/>
            </w:tcBorders>
            <w:shd w:val="clear" w:color="auto" w:fill="auto"/>
          </w:tcPr>
          <w:p w14:paraId="632F19D3" w14:textId="77777777" w:rsidR="007E3D5F" w:rsidRDefault="007E3D5F">
            <w:pPr>
              <w:pStyle w:val="Normal12"/>
              <w:spacing w:line="240" w:lineRule="auto"/>
            </w:pPr>
            <w:r>
              <w:rPr>
                <w:szCs w:val="20"/>
              </w:rPr>
              <w:t>The Sub-processor list accessed via https://silktide.com/company/legal/sub-processors/ sets out the Personal Data processed by each Sub-processor and the services provided by each Sub-processor.</w:t>
            </w:r>
          </w:p>
        </w:tc>
      </w:tr>
    </w:tbl>
    <w:p w14:paraId="61AEFF1F" w14:textId="77777777" w:rsidR="007E3D5F" w:rsidRDefault="007E3D5F">
      <w:pPr>
        <w:pStyle w:val="Normal12"/>
        <w:spacing w:line="240" w:lineRule="auto"/>
        <w:rPr>
          <w:szCs w:val="20"/>
        </w:rPr>
      </w:pPr>
    </w:p>
    <w:p w14:paraId="117E458C" w14:textId="77777777" w:rsidR="007E3D5F" w:rsidRDefault="007E3D5F">
      <w:pPr>
        <w:pStyle w:val="Normal12"/>
        <w:spacing w:line="240" w:lineRule="auto"/>
      </w:pPr>
      <w:r>
        <w:rPr>
          <w:b/>
          <w:bCs/>
          <w:szCs w:val="20"/>
        </w:rPr>
        <w:t>C.</w:t>
      </w:r>
      <w:r>
        <w:rPr>
          <w:b/>
          <w:bCs/>
          <w:szCs w:val="20"/>
        </w:rPr>
        <w:tab/>
        <w:t>COMPETENT SUPERVISORY AUTHORITY</w:t>
      </w:r>
    </w:p>
    <w:tbl>
      <w:tblPr>
        <w:tblW w:w="0" w:type="auto"/>
        <w:tblInd w:w="-20" w:type="dxa"/>
        <w:tblLayout w:type="fixed"/>
        <w:tblLook w:val="0000" w:firstRow="0" w:lastRow="0" w:firstColumn="0" w:lastColumn="0" w:noHBand="0" w:noVBand="0"/>
      </w:tblPr>
      <w:tblGrid>
        <w:gridCol w:w="3221"/>
        <w:gridCol w:w="6105"/>
      </w:tblGrid>
      <w:tr w:rsidR="007E3D5F" w:rsidRPr="0006378C" w14:paraId="3CCA3DD2" w14:textId="77777777">
        <w:tc>
          <w:tcPr>
            <w:tcW w:w="3221" w:type="dxa"/>
            <w:tcBorders>
              <w:top w:val="single" w:sz="4" w:space="0" w:color="000000"/>
              <w:left w:val="single" w:sz="4" w:space="0" w:color="000000"/>
              <w:bottom w:val="single" w:sz="4" w:space="0" w:color="000000"/>
            </w:tcBorders>
            <w:shd w:val="clear" w:color="auto" w:fill="auto"/>
          </w:tcPr>
          <w:p w14:paraId="343EB3F2" w14:textId="77777777" w:rsidR="007E3D5F" w:rsidRDefault="007E3D5F">
            <w:pPr>
              <w:pStyle w:val="Normal12"/>
              <w:spacing w:line="240" w:lineRule="auto"/>
            </w:pPr>
            <w:r>
              <w:rPr>
                <w:color w:val="44546A"/>
                <w:szCs w:val="20"/>
              </w:rPr>
              <w:t>Identify the competent supervisory authority/</w:t>
            </w:r>
            <w:proofErr w:type="spellStart"/>
            <w:r>
              <w:rPr>
                <w:color w:val="44546A"/>
                <w:szCs w:val="20"/>
              </w:rPr>
              <w:t>ies</w:t>
            </w:r>
            <w:proofErr w:type="spellEnd"/>
            <w:r>
              <w:rPr>
                <w:color w:val="44546A"/>
                <w:szCs w:val="20"/>
              </w:rPr>
              <w:t xml:space="preserve"> (e.g. in accordance with Clause 13 of the SCCs)</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648A2B92" w14:textId="77777777" w:rsidR="007E3D5F" w:rsidRDefault="007E3D5F">
            <w:pPr>
              <w:pStyle w:val="Normal12"/>
              <w:spacing w:line="240" w:lineRule="auto"/>
            </w:pPr>
            <w:r>
              <w:rPr>
                <w:szCs w:val="20"/>
              </w:rPr>
              <w:t>Where the EU GDPR applies, the Irish Data Protection Authority - The Data Protection Commission (DPC).</w:t>
            </w:r>
          </w:p>
          <w:p w14:paraId="23B66605" w14:textId="77777777" w:rsidR="007E3D5F" w:rsidRDefault="007E3D5F">
            <w:pPr>
              <w:pStyle w:val="Normal12"/>
              <w:spacing w:line="240" w:lineRule="auto"/>
            </w:pPr>
            <w:r>
              <w:rPr>
                <w:szCs w:val="20"/>
              </w:rPr>
              <w:t>Where the UK GDPR applies, the UK Information Commissioner's Office, (ICO).</w:t>
            </w:r>
          </w:p>
          <w:p w14:paraId="27748976" w14:textId="77777777" w:rsidR="007E3D5F" w:rsidRDefault="007E3D5F">
            <w:pPr>
              <w:pStyle w:val="Normal12"/>
              <w:spacing w:line="240" w:lineRule="auto"/>
            </w:pPr>
            <w:r>
              <w:rPr>
                <w:szCs w:val="20"/>
              </w:rPr>
              <w:t xml:space="preserve">Where the FDPA applies, the </w:t>
            </w:r>
            <w:r>
              <w:t>Swiss Federal Data Protection and Information Commissioner</w:t>
            </w:r>
            <w:r>
              <w:rPr>
                <w:szCs w:val="20"/>
              </w:rPr>
              <w:t>, (FDPIC).</w:t>
            </w:r>
          </w:p>
        </w:tc>
      </w:tr>
    </w:tbl>
    <w:p w14:paraId="35B285D8" w14:textId="77777777" w:rsidR="007E3D5F" w:rsidRDefault="007E3D5F">
      <w:pPr>
        <w:pStyle w:val="Normal12"/>
        <w:spacing w:line="240" w:lineRule="auto"/>
        <w:rPr>
          <w:szCs w:val="20"/>
        </w:rPr>
      </w:pPr>
    </w:p>
    <w:p w14:paraId="1CC5802B" w14:textId="77777777" w:rsidR="007E3D5F" w:rsidRDefault="007E3D5F">
      <w:pPr>
        <w:pStyle w:val="TWTextebene"/>
        <w:rPr>
          <w:sz w:val="20"/>
          <w:szCs w:val="20"/>
          <w:lang w:val="en-GB"/>
        </w:rPr>
      </w:pPr>
    </w:p>
    <w:p w14:paraId="5FD2BD26" w14:textId="77777777" w:rsidR="007E3D5F" w:rsidRPr="0006378C" w:rsidRDefault="007E3D5F">
      <w:pPr>
        <w:rPr>
          <w:lang w:val="en-US"/>
        </w:rPr>
        <w:sectPr w:rsidR="007E3D5F" w:rsidRPr="0006378C">
          <w:headerReference w:type="even" r:id="rId15"/>
          <w:headerReference w:type="default" r:id="rId16"/>
          <w:footerReference w:type="even" r:id="rId17"/>
          <w:footerReference w:type="default" r:id="rId18"/>
          <w:headerReference w:type="first" r:id="rId19"/>
          <w:footerReference w:type="first" r:id="rId20"/>
          <w:pgSz w:w="11906" w:h="16838"/>
          <w:pgMar w:top="1247" w:right="1418" w:bottom="1134" w:left="1418" w:header="709" w:footer="709" w:gutter="0"/>
          <w:cols w:space="720"/>
          <w:docGrid w:linePitch="360"/>
        </w:sectPr>
      </w:pPr>
    </w:p>
    <w:p w14:paraId="32AF383E" w14:textId="77777777" w:rsidR="007E3D5F" w:rsidRDefault="007E3D5F">
      <w:pPr>
        <w:pStyle w:val="TWTextebene"/>
        <w:rPr>
          <w:sz w:val="20"/>
          <w:szCs w:val="20"/>
          <w:lang w:val="en-GB"/>
        </w:rPr>
      </w:pPr>
    </w:p>
    <w:p w14:paraId="070D6969" w14:textId="77777777" w:rsidR="007E3D5F" w:rsidRPr="0006378C" w:rsidRDefault="007E3D5F">
      <w:pPr>
        <w:spacing w:after="120"/>
        <w:jc w:val="center"/>
        <w:rPr>
          <w:lang w:val="en-US"/>
        </w:rPr>
      </w:pPr>
      <w:r>
        <w:rPr>
          <w:rFonts w:ascii="Arial" w:hAnsi="Arial" w:cs="Arial"/>
          <w:b/>
          <w:sz w:val="20"/>
          <w:szCs w:val="20"/>
          <w:u w:val="single"/>
          <w:lang w:val="en-GB" w:eastAsia="nl-NL"/>
        </w:rPr>
        <w:t>Exhibit B</w:t>
      </w:r>
    </w:p>
    <w:p w14:paraId="28918E2E" w14:textId="77777777" w:rsidR="007E3D5F" w:rsidRPr="0006378C" w:rsidRDefault="007E3D5F">
      <w:pPr>
        <w:jc w:val="center"/>
        <w:rPr>
          <w:lang w:val="en-US"/>
        </w:rPr>
      </w:pPr>
      <w:r>
        <w:rPr>
          <w:rFonts w:ascii="Arial" w:hAnsi="Arial" w:cs="Arial"/>
          <w:b/>
          <w:sz w:val="20"/>
          <w:szCs w:val="20"/>
          <w:lang w:val="en-GB"/>
        </w:rPr>
        <w:t>Technical and Organisational Security Measures</w:t>
      </w:r>
    </w:p>
    <w:p w14:paraId="7308348E" w14:textId="77777777" w:rsidR="007E3D5F" w:rsidRPr="0006378C" w:rsidRDefault="007E3D5F">
      <w:pPr>
        <w:jc w:val="center"/>
        <w:rPr>
          <w:lang w:val="en-US"/>
        </w:rPr>
      </w:pPr>
      <w:r>
        <w:rPr>
          <w:rFonts w:ascii="Arial" w:hAnsi="Arial" w:cs="Arial"/>
          <w:b/>
          <w:sz w:val="20"/>
          <w:szCs w:val="20"/>
          <w:lang w:val="en-GB"/>
        </w:rPr>
        <w:t>(Including Technical and Organisational Measures to Ensure the Security of Data)</w:t>
      </w:r>
    </w:p>
    <w:p w14:paraId="1CD50E1E" w14:textId="77777777" w:rsidR="007E3D5F" w:rsidRDefault="007E3D5F">
      <w:pPr>
        <w:pStyle w:val="Normal12"/>
        <w:spacing w:line="240" w:lineRule="auto"/>
      </w:pPr>
      <w:r>
        <w:rPr>
          <w:szCs w:val="20"/>
        </w:rPr>
        <w:t>Below is a description of the technical and organisational measures implemented by the Processor (including any relevant certifications) to ensure an appropriate level of security, taking into account the nature, scope, context and purpose of the processing, and the risks for the rights and freedoms of natural persons.</w:t>
      </w:r>
    </w:p>
    <w:p w14:paraId="348B6958" w14:textId="77777777" w:rsidR="007E3D5F" w:rsidRDefault="007E3D5F">
      <w:pPr>
        <w:pStyle w:val="Normal12"/>
        <w:spacing w:line="240" w:lineRule="auto"/>
        <w:rPr>
          <w:szCs w:val="20"/>
        </w:rPr>
      </w:pPr>
      <w:r>
        <w:rPr>
          <w:szCs w:val="20"/>
        </w:rPr>
        <w:t>Where applicable this Exhibit B will serve as Annex II to the SCCs.</w:t>
      </w:r>
    </w:p>
    <w:p w14:paraId="635523A4" w14:textId="77777777" w:rsidR="00EB5620" w:rsidRDefault="00EB5620" w:rsidP="00EB5620">
      <w:pPr>
        <w:pStyle w:val="Normal12"/>
        <w:spacing w:line="240" w:lineRule="auto"/>
      </w:pPr>
    </w:p>
    <w:tbl>
      <w:tblPr>
        <w:tblW w:w="0" w:type="auto"/>
        <w:tblInd w:w="-25" w:type="dxa"/>
        <w:tblLayout w:type="fixed"/>
        <w:tblLook w:val="0000" w:firstRow="0" w:lastRow="0" w:firstColumn="0" w:lastColumn="0" w:noHBand="0" w:noVBand="0"/>
      </w:tblPr>
      <w:tblGrid>
        <w:gridCol w:w="3397"/>
        <w:gridCol w:w="6004"/>
      </w:tblGrid>
      <w:tr w:rsidR="00EB5620" w14:paraId="309B2F6F" w14:textId="77777777">
        <w:tc>
          <w:tcPr>
            <w:tcW w:w="3397" w:type="dxa"/>
            <w:tcBorders>
              <w:top w:val="single" w:sz="4" w:space="0" w:color="000000"/>
              <w:left w:val="single" w:sz="4" w:space="0" w:color="000000"/>
              <w:bottom w:val="single" w:sz="4" w:space="0" w:color="000000"/>
            </w:tcBorders>
            <w:shd w:val="clear" w:color="auto" w:fill="auto"/>
          </w:tcPr>
          <w:p w14:paraId="54454024" w14:textId="77777777" w:rsidR="00EB5620" w:rsidRDefault="00EB5620">
            <w:pPr>
              <w:pStyle w:val="Normal12"/>
              <w:spacing w:line="240" w:lineRule="auto"/>
            </w:pPr>
            <w:r>
              <w:rPr>
                <w:b/>
                <w:bCs/>
                <w:szCs w:val="20"/>
              </w:rPr>
              <w:t>Measure</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7FBA7EB0" w14:textId="77777777" w:rsidR="00EB5620" w:rsidRDefault="00EB5620">
            <w:pPr>
              <w:pStyle w:val="Normal12"/>
              <w:spacing w:line="240" w:lineRule="auto"/>
            </w:pPr>
            <w:r>
              <w:rPr>
                <w:b/>
                <w:bCs/>
                <w:szCs w:val="20"/>
              </w:rPr>
              <w:t>Description</w:t>
            </w:r>
          </w:p>
        </w:tc>
      </w:tr>
      <w:tr w:rsidR="00EB5620" w:rsidRPr="0006378C" w14:paraId="75A1F419" w14:textId="77777777">
        <w:tc>
          <w:tcPr>
            <w:tcW w:w="3397" w:type="dxa"/>
            <w:tcBorders>
              <w:top w:val="single" w:sz="4" w:space="0" w:color="000000"/>
              <w:left w:val="single" w:sz="4" w:space="0" w:color="000000"/>
              <w:bottom w:val="single" w:sz="4" w:space="0" w:color="000000"/>
            </w:tcBorders>
            <w:shd w:val="clear" w:color="auto" w:fill="auto"/>
          </w:tcPr>
          <w:p w14:paraId="4C7774CA" w14:textId="77777777" w:rsidR="00EB5620" w:rsidRDefault="00EB5620">
            <w:pPr>
              <w:pStyle w:val="Normal12"/>
              <w:spacing w:line="240" w:lineRule="auto"/>
              <w:jc w:val="left"/>
            </w:pPr>
            <w:r>
              <w:rPr>
                <w:color w:val="44546A"/>
                <w:szCs w:val="20"/>
              </w:rPr>
              <w:t>Measures of pseudonymisation and encryption of Personal Data</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1DC83D74" w14:textId="77777777" w:rsidR="00EB5620" w:rsidRDefault="00EB5620">
            <w:pPr>
              <w:pStyle w:val="Normal12"/>
              <w:spacing w:line="240" w:lineRule="auto"/>
            </w:pPr>
            <w:r>
              <w:rPr>
                <w:szCs w:val="20"/>
              </w:rPr>
              <w:t>For the purpose of transfer control, an encryption technology is used (e.g. remote access to the company network via two factor VPN tunnel and full disk encryption). The suitability of an encryption technology is measured against the protective purpose.</w:t>
            </w:r>
          </w:p>
          <w:p w14:paraId="25EA5D57" w14:textId="77777777" w:rsidR="00EB5620" w:rsidRDefault="00EB5620">
            <w:pPr>
              <w:pStyle w:val="Normal12"/>
              <w:spacing w:line="240" w:lineRule="auto"/>
            </w:pPr>
            <w:r>
              <w:rPr>
                <w:szCs w:val="20"/>
              </w:rPr>
              <w:t>The Controller’s data is encrypted at rest using AES256 bit encryption.</w:t>
            </w:r>
          </w:p>
          <w:p w14:paraId="2B0B900C" w14:textId="77777777" w:rsidR="00EB5620" w:rsidRDefault="00EB5620">
            <w:pPr>
              <w:pStyle w:val="Normal12"/>
            </w:pPr>
            <w:r>
              <w:rPr>
                <w:szCs w:val="20"/>
              </w:rPr>
              <w:t>Data in transit is protected by Transport Layer Security (“TLS”).</w:t>
            </w:r>
          </w:p>
        </w:tc>
      </w:tr>
      <w:tr w:rsidR="00EB5620" w:rsidRPr="0006378C" w14:paraId="1E7218C9" w14:textId="77777777">
        <w:tc>
          <w:tcPr>
            <w:tcW w:w="3397" w:type="dxa"/>
            <w:tcBorders>
              <w:top w:val="single" w:sz="4" w:space="0" w:color="000000"/>
              <w:left w:val="single" w:sz="4" w:space="0" w:color="000000"/>
              <w:bottom w:val="single" w:sz="4" w:space="0" w:color="000000"/>
            </w:tcBorders>
            <w:shd w:val="clear" w:color="auto" w:fill="auto"/>
          </w:tcPr>
          <w:p w14:paraId="611E57D2" w14:textId="77777777" w:rsidR="00EB5620" w:rsidRDefault="00EB5620">
            <w:pPr>
              <w:pStyle w:val="Normal12"/>
              <w:spacing w:line="240" w:lineRule="auto"/>
              <w:jc w:val="left"/>
            </w:pPr>
            <w:r>
              <w:rPr>
                <w:color w:val="44546A"/>
                <w:szCs w:val="20"/>
              </w:rPr>
              <w:t>Measures for ensuring ongoing confidentiality, integrity, availability and resilience of processing systems and services</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641BED20" w14:textId="77777777" w:rsidR="00EB5620" w:rsidRDefault="00EB5620">
            <w:pPr>
              <w:pStyle w:val="Normal12"/>
            </w:pPr>
            <w:r>
              <w:rPr>
                <w:szCs w:val="20"/>
              </w:rPr>
              <w:t>Access to data necessary for the performance of the particular task is ensured within the systems and applications by a corresponding role and authorisation concept. In accordance to the “least privilege” and "need-to-know" principles, each role has only those rights which are necessary for the fulfilment of the task to be performed by the individual person.</w:t>
            </w:r>
          </w:p>
          <w:p w14:paraId="1E64DCAA" w14:textId="77777777" w:rsidR="00EB5620" w:rsidRDefault="00EB5620">
            <w:pPr>
              <w:pStyle w:val="Normal12"/>
            </w:pPr>
            <w:r>
              <w:rPr>
                <w:szCs w:val="20"/>
              </w:rPr>
              <w:t>To maintain data access control, state of the art encryption technology is applied to the Personal Data itself where deemed appropriate to protect sensitive data based on risk.</w:t>
            </w:r>
          </w:p>
        </w:tc>
      </w:tr>
      <w:tr w:rsidR="00EB5620" w:rsidRPr="0006378C" w14:paraId="215D0078" w14:textId="77777777">
        <w:tc>
          <w:tcPr>
            <w:tcW w:w="3397" w:type="dxa"/>
            <w:tcBorders>
              <w:top w:val="single" w:sz="4" w:space="0" w:color="000000"/>
              <w:left w:val="single" w:sz="4" w:space="0" w:color="000000"/>
              <w:bottom w:val="single" w:sz="4" w:space="0" w:color="000000"/>
            </w:tcBorders>
            <w:shd w:val="clear" w:color="auto" w:fill="auto"/>
          </w:tcPr>
          <w:p w14:paraId="1A2DA53F" w14:textId="77777777" w:rsidR="00EB5620" w:rsidRDefault="00EB5620">
            <w:pPr>
              <w:pStyle w:val="Normal12"/>
              <w:spacing w:line="240" w:lineRule="auto"/>
            </w:pPr>
            <w:r>
              <w:rPr>
                <w:color w:val="44546A"/>
                <w:szCs w:val="20"/>
              </w:rPr>
              <w:t>Measures for ensuring the ability to restore the availability and access to Personal Data in a timely manner in the event of a physical or technical incident</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64292DA3" w14:textId="77777777" w:rsidR="00EB5620" w:rsidRDefault="00EB5620">
            <w:pPr>
              <w:pStyle w:val="Normal12"/>
            </w:pPr>
            <w:r>
              <w:rPr>
                <w:szCs w:val="20"/>
              </w:rPr>
              <w:t>All our applications are built stateless by using Terraform templates and can be easily recreated in different geographical regions. Data is stored in multiple AWS availability zones. The data centres can be switched in the event of flooding, earthquake, fire or other physical destruction or power outage to protect Personal Data</w:t>
            </w:r>
            <w:r>
              <w:rPr>
                <w:spacing w:val="-4"/>
                <w:szCs w:val="20"/>
              </w:rPr>
              <w:t xml:space="preserve"> </w:t>
            </w:r>
            <w:r>
              <w:rPr>
                <w:szCs w:val="20"/>
              </w:rPr>
              <w:t>against</w:t>
            </w:r>
            <w:r>
              <w:rPr>
                <w:spacing w:val="-2"/>
                <w:szCs w:val="20"/>
              </w:rPr>
              <w:t xml:space="preserve"> </w:t>
            </w:r>
            <w:r>
              <w:rPr>
                <w:szCs w:val="20"/>
              </w:rPr>
              <w:t>accidental</w:t>
            </w:r>
            <w:r>
              <w:rPr>
                <w:spacing w:val="-2"/>
                <w:szCs w:val="20"/>
              </w:rPr>
              <w:t xml:space="preserve"> </w:t>
            </w:r>
            <w:r>
              <w:rPr>
                <w:szCs w:val="20"/>
              </w:rPr>
              <w:t>destruction and</w:t>
            </w:r>
            <w:r>
              <w:rPr>
                <w:spacing w:val="-5"/>
                <w:szCs w:val="20"/>
              </w:rPr>
              <w:t xml:space="preserve"> </w:t>
            </w:r>
            <w:r>
              <w:rPr>
                <w:szCs w:val="20"/>
              </w:rPr>
              <w:t xml:space="preserve">loss. </w:t>
            </w:r>
          </w:p>
          <w:p w14:paraId="1AC8B88F" w14:textId="77777777" w:rsidR="00EB5620" w:rsidRDefault="00EB5620">
            <w:pPr>
              <w:pStyle w:val="Normal12"/>
            </w:pPr>
            <w:r>
              <w:rPr>
                <w:szCs w:val="20"/>
              </w:rPr>
              <w:t>We maintain redundancy throughout our IT infrastructure in order to minimize the lack of availability to or loss of data. Backups are maintained daily in accordance with our backup procedures.</w:t>
            </w:r>
          </w:p>
        </w:tc>
      </w:tr>
      <w:tr w:rsidR="00EB5620" w:rsidRPr="0006378C" w14:paraId="06B7B5CB" w14:textId="77777777">
        <w:tc>
          <w:tcPr>
            <w:tcW w:w="3397" w:type="dxa"/>
            <w:tcBorders>
              <w:top w:val="single" w:sz="4" w:space="0" w:color="000000"/>
              <w:left w:val="single" w:sz="4" w:space="0" w:color="000000"/>
              <w:bottom w:val="single" w:sz="4" w:space="0" w:color="000000"/>
            </w:tcBorders>
            <w:shd w:val="clear" w:color="auto" w:fill="auto"/>
          </w:tcPr>
          <w:p w14:paraId="07E7D01E" w14:textId="77777777" w:rsidR="00EB5620" w:rsidRDefault="00EB5620">
            <w:pPr>
              <w:pStyle w:val="Normal12"/>
              <w:spacing w:line="240" w:lineRule="auto"/>
              <w:jc w:val="left"/>
            </w:pPr>
            <w:r>
              <w:rPr>
                <w:color w:val="44546A"/>
                <w:szCs w:val="20"/>
              </w:rPr>
              <w:t xml:space="preserve">Processes for regularly testing, assessing and evaluating the </w:t>
            </w:r>
            <w:r>
              <w:rPr>
                <w:color w:val="44546A"/>
                <w:szCs w:val="20"/>
              </w:rPr>
              <w:lastRenderedPageBreak/>
              <w:t>effectiveness of technical and organisational measures in order to ensure the security of the processing</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6327BE2D" w14:textId="77777777" w:rsidR="00EB5620" w:rsidRDefault="00EB5620">
            <w:pPr>
              <w:pStyle w:val="Normal12"/>
            </w:pPr>
            <w:r>
              <w:rPr>
                <w:szCs w:val="20"/>
              </w:rPr>
              <w:lastRenderedPageBreak/>
              <w:t xml:space="preserve">We strive to automate audits hence the majority of our monitoring of our infrastructure is automated and running 24/7 and based on </w:t>
            </w:r>
            <w:r>
              <w:rPr>
                <w:szCs w:val="20"/>
              </w:rPr>
              <w:lastRenderedPageBreak/>
              <w:t xml:space="preserve">various frameworks. </w:t>
            </w:r>
          </w:p>
        </w:tc>
      </w:tr>
      <w:tr w:rsidR="00EB5620" w14:paraId="1BCF8269" w14:textId="77777777">
        <w:tc>
          <w:tcPr>
            <w:tcW w:w="3397" w:type="dxa"/>
            <w:tcBorders>
              <w:top w:val="single" w:sz="4" w:space="0" w:color="000000"/>
              <w:left w:val="single" w:sz="4" w:space="0" w:color="000000"/>
              <w:bottom w:val="single" w:sz="4" w:space="0" w:color="000000"/>
            </w:tcBorders>
            <w:shd w:val="clear" w:color="auto" w:fill="auto"/>
          </w:tcPr>
          <w:p w14:paraId="50C5E05F" w14:textId="77777777" w:rsidR="00EB5620" w:rsidRDefault="00EB5620">
            <w:pPr>
              <w:pStyle w:val="Normal12"/>
              <w:spacing w:line="240" w:lineRule="auto"/>
              <w:jc w:val="left"/>
            </w:pPr>
            <w:r>
              <w:rPr>
                <w:color w:val="44546A"/>
                <w:szCs w:val="20"/>
              </w:rPr>
              <w:lastRenderedPageBreak/>
              <w:t>Measures for user identification and authorisation</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523D7C1F" w14:textId="77777777" w:rsidR="00EB5620" w:rsidRDefault="00EB5620">
            <w:pPr>
              <w:pStyle w:val="Normal12"/>
            </w:pPr>
            <w:r>
              <w:rPr>
                <w:szCs w:val="20"/>
              </w:rPr>
              <w:t>Remote access to the data processing systems is only possible through the Processor’s secure VPN tunnel. If the users first authenticate to the secure VPN tunnel, after successful authentication, authorisation is executed by providing a unique user name and password to a centralised directory service. All access attempts, successful and unsuccessful are logged.</w:t>
            </w:r>
          </w:p>
        </w:tc>
      </w:tr>
      <w:tr w:rsidR="00EB5620" w:rsidRPr="0006378C" w14:paraId="65C0EB96" w14:textId="77777777">
        <w:tc>
          <w:tcPr>
            <w:tcW w:w="3397" w:type="dxa"/>
            <w:tcBorders>
              <w:top w:val="single" w:sz="4" w:space="0" w:color="000000"/>
              <w:left w:val="single" w:sz="4" w:space="0" w:color="000000"/>
              <w:bottom w:val="single" w:sz="4" w:space="0" w:color="000000"/>
            </w:tcBorders>
            <w:shd w:val="clear" w:color="auto" w:fill="auto"/>
          </w:tcPr>
          <w:p w14:paraId="02CAC51F" w14:textId="77777777" w:rsidR="00EB5620" w:rsidRDefault="00EB5620">
            <w:pPr>
              <w:pStyle w:val="Normal12"/>
              <w:spacing w:line="240" w:lineRule="auto"/>
              <w:jc w:val="left"/>
            </w:pPr>
            <w:r>
              <w:rPr>
                <w:color w:val="44546A"/>
                <w:szCs w:val="20"/>
              </w:rPr>
              <w:t>Measures for the protection of data during transmission</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37F8FAF9" w14:textId="77777777" w:rsidR="00EB5620" w:rsidRDefault="00EB5620">
            <w:pPr>
              <w:pStyle w:val="Normal12"/>
            </w:pPr>
            <w:r>
              <w:rPr>
                <w:szCs w:val="20"/>
              </w:rPr>
              <w:t xml:space="preserve">Data in transit is protected by Transport Layer Security (“TLS”). </w:t>
            </w:r>
          </w:p>
        </w:tc>
      </w:tr>
      <w:tr w:rsidR="00EB5620" w:rsidRPr="0006378C" w14:paraId="564D6FB5" w14:textId="77777777">
        <w:tc>
          <w:tcPr>
            <w:tcW w:w="3397" w:type="dxa"/>
            <w:tcBorders>
              <w:top w:val="single" w:sz="4" w:space="0" w:color="000000"/>
              <w:left w:val="single" w:sz="4" w:space="0" w:color="000000"/>
              <w:bottom w:val="single" w:sz="4" w:space="0" w:color="000000"/>
            </w:tcBorders>
            <w:shd w:val="clear" w:color="auto" w:fill="auto"/>
          </w:tcPr>
          <w:p w14:paraId="351AD520" w14:textId="77777777" w:rsidR="00EB5620" w:rsidRDefault="00EB5620">
            <w:pPr>
              <w:pStyle w:val="Normal12"/>
              <w:spacing w:line="240" w:lineRule="auto"/>
              <w:jc w:val="left"/>
            </w:pPr>
            <w:r>
              <w:rPr>
                <w:color w:val="44546A"/>
                <w:szCs w:val="20"/>
              </w:rPr>
              <w:t>Measures for the protection of data during storage</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616EFB39" w14:textId="77777777" w:rsidR="00EB5620" w:rsidRDefault="00EB5620">
            <w:pPr>
              <w:pStyle w:val="Normal12"/>
            </w:pPr>
            <w:r>
              <w:rPr>
                <w:szCs w:val="20"/>
              </w:rPr>
              <w:t xml:space="preserve">Personal Data is only retained internally, and on the third party data centre servers, which are covered by AWS certifications. </w:t>
            </w:r>
          </w:p>
          <w:p w14:paraId="79A8A84C" w14:textId="77777777" w:rsidR="00EB5620" w:rsidRDefault="00EB5620">
            <w:pPr>
              <w:pStyle w:val="Normal12"/>
            </w:pPr>
            <w:r>
              <w:rPr>
                <w:szCs w:val="20"/>
              </w:rPr>
              <w:t>The Controller’s archived data is encrypted at rest using AES256 bit encryption and data in transit is protected by Transport Layer Security (“TLS”).</w:t>
            </w:r>
          </w:p>
        </w:tc>
      </w:tr>
      <w:tr w:rsidR="00EB5620" w14:paraId="4D88C6DA" w14:textId="77777777">
        <w:tc>
          <w:tcPr>
            <w:tcW w:w="3397" w:type="dxa"/>
            <w:tcBorders>
              <w:top w:val="single" w:sz="4" w:space="0" w:color="000000"/>
              <w:left w:val="single" w:sz="4" w:space="0" w:color="000000"/>
              <w:bottom w:val="single" w:sz="4" w:space="0" w:color="000000"/>
            </w:tcBorders>
            <w:shd w:val="clear" w:color="auto" w:fill="auto"/>
          </w:tcPr>
          <w:p w14:paraId="73C35595" w14:textId="77777777" w:rsidR="00EB5620" w:rsidRDefault="00EB5620">
            <w:pPr>
              <w:pStyle w:val="Normal12"/>
              <w:spacing w:line="240" w:lineRule="auto"/>
              <w:jc w:val="left"/>
            </w:pPr>
            <w:r>
              <w:rPr>
                <w:color w:val="44546A"/>
                <w:szCs w:val="20"/>
              </w:rPr>
              <w:t>Measures for ensuring physical security of locations at which Personal Data are processed</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27B72560" w14:textId="77777777" w:rsidR="00EB5620" w:rsidRDefault="00EB5620">
            <w:pPr>
              <w:pStyle w:val="Normal12"/>
            </w:pPr>
            <w:r>
              <w:rPr>
                <w:szCs w:val="20"/>
              </w:rPr>
              <w:t>The Processor utilises third party data centres that maintain current ISO 27001 certifications and/or SSAE 16 SOC 1 Type II or SOC 2 Attestation Reports. The Processor will not utilise third party data centres that do not maintain the aforementioned certifications and/or attestations, or other substantially similar or equivalent certifications and/or attestations.</w:t>
            </w:r>
          </w:p>
          <w:p w14:paraId="38218B3F" w14:textId="77777777" w:rsidR="00EB5620" w:rsidRDefault="00EB5620">
            <w:pPr>
              <w:pStyle w:val="Normal12"/>
            </w:pPr>
            <w:r>
              <w:rPr>
                <w:szCs w:val="20"/>
              </w:rPr>
              <w:t>The Processor’s main office is secured with keypad entry. The keypad entry requires access to a secure PIN. When it is not occupied, it is locked securely and covered by a remotely monitored alarm. A central log of keyholders is maintained and access is revoked when an employee is terminated.</w:t>
            </w:r>
          </w:p>
          <w:p w14:paraId="79E7D2A4" w14:textId="77777777" w:rsidR="00EB5620" w:rsidRDefault="00EB5620">
            <w:pPr>
              <w:pStyle w:val="Normal12"/>
            </w:pPr>
            <w:r>
              <w:rPr>
                <w:szCs w:val="20"/>
              </w:rPr>
              <w:t>The Processor’s employees that work from home are expected to comply with our security policy in full at all times. Our disciplinary procedure covers failure to meet these standards.</w:t>
            </w:r>
          </w:p>
        </w:tc>
      </w:tr>
      <w:tr w:rsidR="00EB5620" w:rsidRPr="0006378C" w14:paraId="70045C59" w14:textId="77777777">
        <w:tc>
          <w:tcPr>
            <w:tcW w:w="3397" w:type="dxa"/>
            <w:tcBorders>
              <w:top w:val="single" w:sz="4" w:space="0" w:color="000000"/>
              <w:left w:val="single" w:sz="4" w:space="0" w:color="000000"/>
              <w:bottom w:val="single" w:sz="4" w:space="0" w:color="000000"/>
            </w:tcBorders>
            <w:shd w:val="clear" w:color="auto" w:fill="auto"/>
          </w:tcPr>
          <w:p w14:paraId="13417AFB" w14:textId="77777777" w:rsidR="00EB5620" w:rsidRDefault="00EB5620">
            <w:pPr>
              <w:pStyle w:val="Normal12"/>
              <w:spacing w:line="240" w:lineRule="auto"/>
              <w:jc w:val="left"/>
            </w:pPr>
            <w:r>
              <w:rPr>
                <w:color w:val="44546A"/>
                <w:szCs w:val="20"/>
              </w:rPr>
              <w:t>Measures for ensuring events logging</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5217A43B" w14:textId="77777777" w:rsidR="00EB5620" w:rsidRDefault="00EB5620">
            <w:pPr>
              <w:pStyle w:val="Normal12"/>
            </w:pPr>
            <w:r>
              <w:rPr>
                <w:szCs w:val="20"/>
              </w:rPr>
              <w:t>System inputs are recorded in the form of log files therefore it is possible to review retroactively whether and by whom Personal Data was entered, altered or deleted.</w:t>
            </w:r>
          </w:p>
        </w:tc>
      </w:tr>
      <w:tr w:rsidR="00EB5620" w:rsidRPr="0006378C" w14:paraId="34E9843D" w14:textId="77777777">
        <w:tc>
          <w:tcPr>
            <w:tcW w:w="3397" w:type="dxa"/>
            <w:tcBorders>
              <w:top w:val="single" w:sz="4" w:space="0" w:color="000000"/>
              <w:left w:val="single" w:sz="4" w:space="0" w:color="000000"/>
              <w:bottom w:val="single" w:sz="4" w:space="0" w:color="000000"/>
            </w:tcBorders>
            <w:shd w:val="clear" w:color="auto" w:fill="auto"/>
          </w:tcPr>
          <w:p w14:paraId="7257B844" w14:textId="77777777" w:rsidR="00EB5620" w:rsidRDefault="00EB5620">
            <w:pPr>
              <w:pStyle w:val="Normal12"/>
              <w:spacing w:line="240" w:lineRule="auto"/>
              <w:jc w:val="left"/>
            </w:pPr>
            <w:r>
              <w:rPr>
                <w:color w:val="44546A"/>
                <w:szCs w:val="20"/>
              </w:rPr>
              <w:t>Measures for ensuring system configuration, including default configuration</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2A45054F" w14:textId="77777777" w:rsidR="00EB5620" w:rsidRDefault="00EB5620">
            <w:pPr>
              <w:pStyle w:val="Normal12"/>
            </w:pPr>
            <w:r>
              <w:rPr>
                <w:szCs w:val="20"/>
              </w:rPr>
              <w:t>System configuration is applied and maintained by software tools that ensure the system configurations do not deviate from the specifications.</w:t>
            </w:r>
          </w:p>
        </w:tc>
      </w:tr>
      <w:tr w:rsidR="00EB5620" w:rsidRPr="0006378C" w14:paraId="1AF6BF85" w14:textId="77777777">
        <w:tc>
          <w:tcPr>
            <w:tcW w:w="3397" w:type="dxa"/>
            <w:tcBorders>
              <w:top w:val="single" w:sz="4" w:space="0" w:color="000000"/>
              <w:left w:val="single" w:sz="4" w:space="0" w:color="000000"/>
              <w:bottom w:val="single" w:sz="4" w:space="0" w:color="000000"/>
            </w:tcBorders>
            <w:shd w:val="clear" w:color="auto" w:fill="auto"/>
          </w:tcPr>
          <w:p w14:paraId="7D82D825" w14:textId="77777777" w:rsidR="00EB5620" w:rsidRDefault="00EB5620">
            <w:pPr>
              <w:pStyle w:val="Normal12"/>
              <w:spacing w:line="240" w:lineRule="auto"/>
              <w:jc w:val="left"/>
            </w:pPr>
            <w:r>
              <w:rPr>
                <w:color w:val="44546A"/>
                <w:szCs w:val="20"/>
              </w:rPr>
              <w:t xml:space="preserve">Measures for internal IT and IT security governance and </w:t>
            </w:r>
            <w:r>
              <w:rPr>
                <w:color w:val="44546A"/>
                <w:szCs w:val="20"/>
              </w:rPr>
              <w:lastRenderedPageBreak/>
              <w:t>management</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1FAB084B" w14:textId="77777777" w:rsidR="00EB5620" w:rsidRDefault="00EB5620">
            <w:pPr>
              <w:pStyle w:val="Normal12"/>
            </w:pPr>
            <w:r>
              <w:rPr>
                <w:szCs w:val="20"/>
              </w:rPr>
              <w:lastRenderedPageBreak/>
              <w:t xml:space="preserve">Employees are instructed to collect, process and use Personal Data only within the framework and for the purposes of their </w:t>
            </w:r>
            <w:r>
              <w:rPr>
                <w:szCs w:val="20"/>
              </w:rPr>
              <w:lastRenderedPageBreak/>
              <w:t xml:space="preserve">duties (e.g. service provision). At a technical level, multi-client capability includes separation of functions as well as appropriate separation of testing and production systems. </w:t>
            </w:r>
          </w:p>
          <w:p w14:paraId="7F69DAAB" w14:textId="77777777" w:rsidR="00EB5620" w:rsidRDefault="00EB5620">
            <w:pPr>
              <w:pStyle w:val="Normal12"/>
            </w:pPr>
            <w:r>
              <w:rPr>
                <w:szCs w:val="20"/>
              </w:rPr>
              <w:t xml:space="preserve">The Controller’s Personal Data is stored in a way that logically separates it from other customer data. </w:t>
            </w:r>
          </w:p>
        </w:tc>
      </w:tr>
      <w:tr w:rsidR="00EB5620" w:rsidRPr="0006378C" w14:paraId="2EA23FD8" w14:textId="77777777">
        <w:tc>
          <w:tcPr>
            <w:tcW w:w="3397" w:type="dxa"/>
            <w:tcBorders>
              <w:top w:val="single" w:sz="4" w:space="0" w:color="000000"/>
              <w:left w:val="single" w:sz="4" w:space="0" w:color="000000"/>
              <w:bottom w:val="single" w:sz="4" w:space="0" w:color="000000"/>
            </w:tcBorders>
            <w:shd w:val="clear" w:color="auto" w:fill="auto"/>
          </w:tcPr>
          <w:p w14:paraId="071E0C4A" w14:textId="77777777" w:rsidR="00EB5620" w:rsidRDefault="00EB5620">
            <w:pPr>
              <w:pStyle w:val="Normal12"/>
              <w:spacing w:line="240" w:lineRule="auto"/>
              <w:jc w:val="left"/>
            </w:pPr>
            <w:r>
              <w:rPr>
                <w:color w:val="44546A"/>
                <w:szCs w:val="20"/>
              </w:rPr>
              <w:lastRenderedPageBreak/>
              <w:t>Measures for certification/assurance of processes and products</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26CA247D" w14:textId="77777777" w:rsidR="00EB5620" w:rsidRDefault="00EB5620">
            <w:pPr>
              <w:pStyle w:val="BodyText0"/>
              <w:spacing w:before="118" w:line="260" w:lineRule="atLeast"/>
              <w:ind w:right="236"/>
            </w:pPr>
            <w:r>
              <w:rPr>
                <w:rFonts w:ascii="Arial" w:eastAsia="Calibri" w:hAnsi="Arial" w:cs="Arial"/>
                <w:sz w:val="20"/>
                <w:szCs w:val="20"/>
              </w:rPr>
              <w:t>The Processor utilises third party data centres that maintain current ISO 27001 certifications and/or SSAE 16 SOC 1 Type II or SOC 2 Attestation Reports. The Processor will not utilise third party data centres that do not maintain the aforementioned certifications and/or attestations, or other substantially similar or equivalent certifications and/or attestations.</w:t>
            </w:r>
          </w:p>
          <w:p w14:paraId="33E68C54" w14:textId="77777777" w:rsidR="00EB5620" w:rsidRDefault="00EB5620">
            <w:pPr>
              <w:pStyle w:val="Normal12"/>
            </w:pPr>
            <w:r>
              <w:rPr>
                <w:szCs w:val="20"/>
              </w:rPr>
              <w:t>Upon the Controller’s written request (no more than once in any 12 month period), the Processor shall provide within a reasonable time, a copy of the most recently completed certification and/or attestation reports (to the extent that to do so does not prejudice the overall security of the Services). Any audit report submitted to the Controller shall be treated as Confidential Information and subject to the confidentiality provisions of the Agreement between the parties</w:t>
            </w:r>
          </w:p>
        </w:tc>
      </w:tr>
      <w:tr w:rsidR="00EB5620" w:rsidRPr="0006378C" w14:paraId="17387F85" w14:textId="77777777">
        <w:tc>
          <w:tcPr>
            <w:tcW w:w="3397" w:type="dxa"/>
            <w:tcBorders>
              <w:top w:val="single" w:sz="4" w:space="0" w:color="000000"/>
              <w:left w:val="single" w:sz="4" w:space="0" w:color="000000"/>
              <w:bottom w:val="single" w:sz="4" w:space="0" w:color="000000"/>
            </w:tcBorders>
            <w:shd w:val="clear" w:color="auto" w:fill="auto"/>
          </w:tcPr>
          <w:p w14:paraId="21780654" w14:textId="77777777" w:rsidR="00EB5620" w:rsidRDefault="00EB5620">
            <w:pPr>
              <w:pStyle w:val="Normal12"/>
              <w:spacing w:line="240" w:lineRule="auto"/>
              <w:jc w:val="left"/>
            </w:pPr>
            <w:r>
              <w:rPr>
                <w:color w:val="44546A"/>
                <w:szCs w:val="20"/>
              </w:rPr>
              <w:t>Measures for ensuring data minimisation</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14979B96" w14:textId="77777777" w:rsidR="00EB5620" w:rsidRDefault="00EB5620">
            <w:pPr>
              <w:pStyle w:val="Normal12"/>
            </w:pPr>
            <w:r>
              <w:rPr>
                <w:szCs w:val="20"/>
              </w:rPr>
              <w:t xml:space="preserve">If Personal Data is no longer required for the purposes for which it was processed, it is deleted promptly. It should be noted that with each deletion, the Personal Data is only locked in the first instance and is then deleted for good with a certain delay. This is done in order to prevent accidental deletions or possible intentional damage. </w:t>
            </w:r>
          </w:p>
        </w:tc>
      </w:tr>
      <w:tr w:rsidR="00EB5620" w:rsidRPr="0006378C" w14:paraId="7C741369" w14:textId="77777777">
        <w:tc>
          <w:tcPr>
            <w:tcW w:w="3397" w:type="dxa"/>
            <w:tcBorders>
              <w:top w:val="single" w:sz="4" w:space="0" w:color="000000"/>
              <w:left w:val="single" w:sz="4" w:space="0" w:color="000000"/>
              <w:bottom w:val="single" w:sz="4" w:space="0" w:color="000000"/>
            </w:tcBorders>
            <w:shd w:val="clear" w:color="auto" w:fill="auto"/>
          </w:tcPr>
          <w:p w14:paraId="6D80C35E" w14:textId="77777777" w:rsidR="00EB5620" w:rsidRDefault="00EB5620">
            <w:pPr>
              <w:pStyle w:val="Normal12"/>
              <w:spacing w:line="240" w:lineRule="auto"/>
              <w:jc w:val="left"/>
            </w:pPr>
            <w:r>
              <w:rPr>
                <w:color w:val="44546A"/>
                <w:szCs w:val="20"/>
              </w:rPr>
              <w:t>Measures for ensuring data quality</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7FD3D3DF" w14:textId="77777777" w:rsidR="00EB5620" w:rsidRDefault="00EB5620">
            <w:pPr>
              <w:pStyle w:val="Normal12"/>
            </w:pPr>
            <w:r>
              <w:rPr>
                <w:szCs w:val="20"/>
              </w:rPr>
              <w:t>All of the data that we possess is provided by the Controller. The Processor does not assess the quality of the data provided by the Controller. The Processor provides reporting tools within its product to help the Controller understand and validate the data that is stored.</w:t>
            </w:r>
          </w:p>
        </w:tc>
      </w:tr>
      <w:tr w:rsidR="00EB5620" w:rsidRPr="0006378C" w14:paraId="2D0FDBAE" w14:textId="77777777">
        <w:tc>
          <w:tcPr>
            <w:tcW w:w="3397" w:type="dxa"/>
            <w:tcBorders>
              <w:top w:val="single" w:sz="4" w:space="0" w:color="000000"/>
              <w:left w:val="single" w:sz="4" w:space="0" w:color="000000"/>
              <w:bottom w:val="single" w:sz="4" w:space="0" w:color="000000"/>
            </w:tcBorders>
            <w:shd w:val="clear" w:color="auto" w:fill="auto"/>
          </w:tcPr>
          <w:p w14:paraId="0C1997A9" w14:textId="77777777" w:rsidR="00EB5620" w:rsidRDefault="00EB5620">
            <w:pPr>
              <w:pStyle w:val="Normal12"/>
              <w:spacing w:line="240" w:lineRule="auto"/>
              <w:jc w:val="left"/>
            </w:pPr>
            <w:r>
              <w:rPr>
                <w:color w:val="44546A"/>
                <w:szCs w:val="20"/>
              </w:rPr>
              <w:t>Measures for ensuring limited data retention</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4CDBF341" w14:textId="77777777" w:rsidR="00EB5620" w:rsidRDefault="00EB5620">
            <w:pPr>
              <w:pStyle w:val="Normal12"/>
              <w:tabs>
                <w:tab w:val="left" w:pos="918"/>
              </w:tabs>
            </w:pPr>
            <w:r>
              <w:rPr>
                <w:szCs w:val="20"/>
              </w:rPr>
              <w:t>The Processor uses a data classification scheme for all data that it stores and our retention policy specifies how each type of data is retained. When a record with Personal Data is deleted then it will be permanently evicted from the Processor’s active databases. The data is retained in the Processor’s backups until they are rotated out by more recent backups per the data retention policy.</w:t>
            </w:r>
          </w:p>
        </w:tc>
      </w:tr>
      <w:tr w:rsidR="00EB5620" w:rsidRPr="0006378C" w14:paraId="6CDB9C5C" w14:textId="77777777">
        <w:tc>
          <w:tcPr>
            <w:tcW w:w="3397" w:type="dxa"/>
            <w:tcBorders>
              <w:top w:val="single" w:sz="4" w:space="0" w:color="000000"/>
              <w:left w:val="single" w:sz="4" w:space="0" w:color="000000"/>
              <w:bottom w:val="single" w:sz="4" w:space="0" w:color="000000"/>
            </w:tcBorders>
            <w:shd w:val="clear" w:color="auto" w:fill="auto"/>
          </w:tcPr>
          <w:p w14:paraId="546B7E99" w14:textId="77777777" w:rsidR="00EB5620" w:rsidRDefault="00EB5620">
            <w:pPr>
              <w:pStyle w:val="Normal12"/>
              <w:spacing w:line="240" w:lineRule="auto"/>
              <w:jc w:val="left"/>
            </w:pPr>
            <w:r>
              <w:rPr>
                <w:color w:val="44546A"/>
                <w:szCs w:val="20"/>
              </w:rPr>
              <w:t>Measures for ensuring accountability</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3AE48C00" w14:textId="77777777" w:rsidR="00EB5620" w:rsidRDefault="00EB5620">
            <w:pPr>
              <w:pStyle w:val="Normal12"/>
            </w:pPr>
            <w:r>
              <w:rPr>
                <w:szCs w:val="20"/>
              </w:rPr>
              <w:t>All employees that handle sensitive data must acknowledge the information security policies. A disciplinary policy is in place for employees that do not adhere to information security policies.</w:t>
            </w:r>
          </w:p>
        </w:tc>
      </w:tr>
      <w:tr w:rsidR="00EB5620" w:rsidRPr="0006378C" w14:paraId="2F67FB9A" w14:textId="77777777">
        <w:tc>
          <w:tcPr>
            <w:tcW w:w="3397" w:type="dxa"/>
            <w:tcBorders>
              <w:top w:val="single" w:sz="4" w:space="0" w:color="000000"/>
              <w:left w:val="single" w:sz="4" w:space="0" w:color="000000"/>
              <w:bottom w:val="single" w:sz="4" w:space="0" w:color="000000"/>
            </w:tcBorders>
            <w:shd w:val="clear" w:color="auto" w:fill="auto"/>
          </w:tcPr>
          <w:p w14:paraId="400A76C0" w14:textId="77777777" w:rsidR="00EB5620" w:rsidRDefault="00EB5620">
            <w:pPr>
              <w:pStyle w:val="Normal12"/>
              <w:spacing w:line="240" w:lineRule="auto"/>
              <w:jc w:val="left"/>
            </w:pPr>
            <w:r>
              <w:rPr>
                <w:color w:val="44546A"/>
                <w:szCs w:val="20"/>
              </w:rPr>
              <w:t xml:space="preserve">Measures for allowing data </w:t>
            </w:r>
            <w:r>
              <w:rPr>
                <w:color w:val="44546A"/>
                <w:szCs w:val="20"/>
              </w:rPr>
              <w:lastRenderedPageBreak/>
              <w:t>portability and ensuring erasure</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6C7A6B01" w14:textId="77777777" w:rsidR="00EB5620" w:rsidRDefault="00EB5620">
            <w:pPr>
              <w:pStyle w:val="Normal12"/>
            </w:pPr>
            <w:r>
              <w:rPr>
                <w:szCs w:val="20"/>
              </w:rPr>
              <w:lastRenderedPageBreak/>
              <w:t xml:space="preserve">The Services have built-in tools that allows the Controller to </w:t>
            </w:r>
            <w:r>
              <w:rPr>
                <w:szCs w:val="20"/>
              </w:rPr>
              <w:lastRenderedPageBreak/>
              <w:t>export and permanently erase data.</w:t>
            </w:r>
          </w:p>
        </w:tc>
      </w:tr>
      <w:tr w:rsidR="00EB5620" w14:paraId="0FF8C840" w14:textId="77777777">
        <w:tc>
          <w:tcPr>
            <w:tcW w:w="3397" w:type="dxa"/>
            <w:tcBorders>
              <w:top w:val="single" w:sz="4" w:space="0" w:color="000000"/>
              <w:left w:val="single" w:sz="4" w:space="0" w:color="000000"/>
              <w:bottom w:val="single" w:sz="4" w:space="0" w:color="000000"/>
            </w:tcBorders>
            <w:shd w:val="clear" w:color="auto" w:fill="auto"/>
          </w:tcPr>
          <w:p w14:paraId="432C0EB3" w14:textId="77777777" w:rsidR="00EB5620" w:rsidRDefault="00EB5620">
            <w:pPr>
              <w:pStyle w:val="Normal12"/>
              <w:spacing w:line="240" w:lineRule="auto"/>
            </w:pPr>
            <w:r>
              <w:rPr>
                <w:color w:val="44546A"/>
                <w:szCs w:val="20"/>
              </w:rPr>
              <w:lastRenderedPageBreak/>
              <w:t>Measures to be taken by the (Sub-) processor to be able to provide assistance to the Controller (and, for transfers from a Processor to a Sub-processor, to the Data Exporter).</w:t>
            </w:r>
          </w:p>
        </w:tc>
        <w:tc>
          <w:tcPr>
            <w:tcW w:w="6004" w:type="dxa"/>
            <w:tcBorders>
              <w:top w:val="single" w:sz="4" w:space="0" w:color="000000"/>
              <w:left w:val="single" w:sz="4" w:space="0" w:color="000000"/>
              <w:bottom w:val="single" w:sz="4" w:space="0" w:color="000000"/>
              <w:right w:val="single" w:sz="4" w:space="0" w:color="000000"/>
            </w:tcBorders>
            <w:shd w:val="clear" w:color="auto" w:fill="auto"/>
          </w:tcPr>
          <w:p w14:paraId="0C3CB502" w14:textId="77777777" w:rsidR="00EB5620" w:rsidRDefault="00EB5620">
            <w:pPr>
              <w:pStyle w:val="Normal12"/>
            </w:pPr>
            <w:r>
              <w:rPr>
                <w:szCs w:val="20"/>
              </w:rPr>
              <w:t>The transfer of Personal Data to a third party (e.g. customers, sub-contractors, service providers) is only made if a corresponding contract exists, and only for the specific purposes. If Personal Data is transferred outside the EEA, the Processor provides that an adequate level of data protection exists at the target location or organisation in accordance with the European Union's data protection requirements, e.g. by employing contracts based on the EU SCCs.</w:t>
            </w:r>
          </w:p>
        </w:tc>
      </w:tr>
    </w:tbl>
    <w:p w14:paraId="5626ED68" w14:textId="77777777" w:rsidR="00EB5620" w:rsidRPr="009C19B6" w:rsidRDefault="00EB5620">
      <w:pPr>
        <w:pStyle w:val="Normal12"/>
        <w:spacing w:line="240" w:lineRule="auto"/>
        <w:rPr>
          <w:szCs w:val="20"/>
          <w:lang w:val="en-US"/>
        </w:rPr>
      </w:pPr>
    </w:p>
    <w:p w14:paraId="2E6E846D" w14:textId="77777777" w:rsidR="00EB5620" w:rsidRDefault="00EB5620">
      <w:pPr>
        <w:pStyle w:val="Normal12"/>
        <w:spacing w:line="240" w:lineRule="auto"/>
        <w:rPr>
          <w:szCs w:val="20"/>
        </w:rPr>
      </w:pPr>
      <w:r>
        <w:rPr>
          <w:szCs w:val="20"/>
        </w:rPr>
        <w:br w:type="column"/>
      </w:r>
    </w:p>
    <w:p w14:paraId="60DB14AD" w14:textId="77777777" w:rsidR="00EB5620" w:rsidRPr="009C19B6" w:rsidRDefault="00EB5620" w:rsidP="00EB5620">
      <w:pPr>
        <w:tabs>
          <w:tab w:val="left" w:pos="455"/>
        </w:tabs>
        <w:rPr>
          <w:rFonts w:ascii="Arial" w:hAnsi="Arial" w:cs="Arial"/>
          <w:sz w:val="20"/>
          <w:szCs w:val="20"/>
          <w:lang w:val="en-US" w:eastAsia="en-US"/>
        </w:rPr>
      </w:pPr>
    </w:p>
    <w:p w14:paraId="4FB50AD6" w14:textId="77777777" w:rsidR="00EB5620" w:rsidRPr="004C2A25" w:rsidRDefault="00EB5620" w:rsidP="00EB5620">
      <w:pPr>
        <w:spacing w:after="120"/>
        <w:jc w:val="center"/>
        <w:rPr>
          <w:rFonts w:ascii="Arial" w:hAnsi="Arial" w:cs="Arial"/>
          <w:b/>
          <w:sz w:val="20"/>
          <w:szCs w:val="20"/>
          <w:lang w:eastAsia="nl-NL"/>
        </w:rPr>
      </w:pPr>
      <w:r w:rsidRPr="004C2A25">
        <w:rPr>
          <w:rFonts w:ascii="Arial" w:hAnsi="Arial" w:cs="Arial"/>
          <w:b/>
          <w:sz w:val="20"/>
          <w:szCs w:val="20"/>
          <w:lang w:eastAsia="nl-NL"/>
        </w:rPr>
        <w:t>Exhibit C</w:t>
      </w:r>
    </w:p>
    <w:p w14:paraId="6F6D9359" w14:textId="77777777" w:rsidR="00EB5620" w:rsidRPr="006B65A1" w:rsidRDefault="00EB5620" w:rsidP="00EB5620">
      <w:pPr>
        <w:spacing w:after="120"/>
        <w:jc w:val="center"/>
        <w:rPr>
          <w:rFonts w:ascii="Arial" w:hAnsi="Arial" w:cs="Arial"/>
          <w:b/>
          <w:sz w:val="20"/>
          <w:szCs w:val="20"/>
          <w:u w:val="single"/>
          <w:lang w:eastAsia="nl-NL"/>
        </w:rPr>
      </w:pPr>
    </w:p>
    <w:p w14:paraId="59BAB4D7" w14:textId="77777777" w:rsidR="00EB5620" w:rsidRPr="006378CC" w:rsidRDefault="00EB5620" w:rsidP="00EB5620">
      <w:pPr>
        <w:pStyle w:val="Heading2"/>
        <w:rPr>
          <w:rFonts w:ascii="Arial" w:hAnsi="Arial" w:cs="Arial"/>
          <w:b w:val="0"/>
          <w:sz w:val="20"/>
          <w:szCs w:val="20"/>
        </w:rPr>
      </w:pPr>
      <w:r w:rsidRPr="006378CC">
        <w:rPr>
          <w:rFonts w:ascii="Arial" w:hAnsi="Arial" w:cs="Arial"/>
          <w:sz w:val="20"/>
          <w:szCs w:val="20"/>
        </w:rPr>
        <w:t>International Data Transfer Addendum to the EU Commission Standard Contractual Clauses</w:t>
      </w:r>
    </w:p>
    <w:p w14:paraId="6AB89184" w14:textId="77777777" w:rsidR="00EB5620" w:rsidRPr="00746F03" w:rsidRDefault="00EB5620" w:rsidP="00EB5620">
      <w:pPr>
        <w:pBdr>
          <w:bottom w:val="single" w:sz="4" w:space="16" w:color="003768"/>
        </w:pBdr>
        <w:spacing w:before="200" w:after="360"/>
        <w:rPr>
          <w:rFonts w:ascii="Arial" w:hAnsi="Arial" w:cs="Arial"/>
          <w:b/>
          <w:color w:val="54534A"/>
          <w:sz w:val="20"/>
          <w:szCs w:val="20"/>
          <w:lang w:val="en-US"/>
        </w:rPr>
      </w:pPr>
      <w:r w:rsidRPr="00746F03">
        <w:rPr>
          <w:rFonts w:ascii="Arial" w:hAnsi="Arial" w:cs="Arial"/>
          <w:b/>
          <w:color w:val="54534A"/>
          <w:sz w:val="20"/>
          <w:szCs w:val="20"/>
          <w:lang w:val="en-US"/>
        </w:rPr>
        <w:t>VERSION B1.0, in force 21 March 2022</w:t>
      </w:r>
    </w:p>
    <w:p w14:paraId="45B366FE" w14:textId="77777777" w:rsidR="00EB5620" w:rsidRPr="00746F03" w:rsidRDefault="00EB5620" w:rsidP="00EB5620">
      <w:pPr>
        <w:rPr>
          <w:rFonts w:ascii="Arial" w:hAnsi="Arial" w:cs="Arial"/>
          <w:sz w:val="20"/>
          <w:szCs w:val="20"/>
          <w:lang w:val="en-US"/>
        </w:rPr>
      </w:pPr>
      <w:r w:rsidRPr="00746F03">
        <w:rPr>
          <w:rFonts w:ascii="Arial" w:hAnsi="Arial" w:cs="Arial"/>
          <w:sz w:val="20"/>
          <w:szCs w:val="20"/>
          <w:lang w:val="en-US"/>
        </w:rPr>
        <w:t>This Addendum has been issued by the Information Commissioner for Parties making Restricted Transfers. The Information Commissioner considers that it provides Appropriate Safeguards for Restricted Transfers when it is entered into as a legally binding contract.</w:t>
      </w:r>
    </w:p>
    <w:p w14:paraId="0E8309A6" w14:textId="77777777" w:rsidR="00EB5620" w:rsidRDefault="00EB5620" w:rsidP="00EB5620">
      <w:pPr>
        <w:pStyle w:val="Heading2"/>
        <w:rPr>
          <w:rFonts w:ascii="Arial" w:hAnsi="Arial" w:cs="Arial"/>
          <w:sz w:val="20"/>
          <w:szCs w:val="20"/>
        </w:rPr>
      </w:pPr>
      <w:r w:rsidRPr="00FB7B06">
        <w:rPr>
          <w:rFonts w:ascii="Arial" w:hAnsi="Arial" w:cs="Arial"/>
          <w:sz w:val="20"/>
          <w:szCs w:val="20"/>
        </w:rPr>
        <w:t>Part 1: Tables</w:t>
      </w:r>
    </w:p>
    <w:p w14:paraId="5415E3F2" w14:textId="77777777" w:rsidR="00EB5620" w:rsidRPr="00AC78A8" w:rsidRDefault="00EB5620" w:rsidP="00EB5620"/>
    <w:p w14:paraId="66D68F0E" w14:textId="77777777" w:rsidR="00EB5620" w:rsidRPr="00FB7B06" w:rsidRDefault="00EB5620" w:rsidP="00EB5620">
      <w:pPr>
        <w:pStyle w:val="Heading3"/>
        <w:ind w:left="0"/>
        <w:rPr>
          <w:rFonts w:ascii="Arial" w:hAnsi="Arial" w:cs="Arial"/>
          <w:sz w:val="20"/>
          <w:szCs w:val="20"/>
        </w:rPr>
      </w:pPr>
      <w:r w:rsidRPr="00FB7B06">
        <w:rPr>
          <w:rFonts w:ascii="Arial" w:hAnsi="Arial" w:cs="Arial"/>
          <w:sz w:val="20"/>
          <w:szCs w:val="20"/>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86"/>
        <w:gridCol w:w="3549"/>
        <w:gridCol w:w="3551"/>
      </w:tblGrid>
      <w:tr w:rsidR="00EB5620" w:rsidRPr="00746F03" w14:paraId="29001BF6" w14:textId="77777777">
        <w:tc>
          <w:tcPr>
            <w:tcW w:w="1177" w:type="pct"/>
            <w:tcBorders>
              <w:top w:val="single" w:sz="4" w:space="0" w:color="FFC000"/>
            </w:tcBorders>
            <w:shd w:val="clear" w:color="auto" w:fill="FFF9DD"/>
          </w:tcPr>
          <w:p w14:paraId="503B0B9D" w14:textId="77777777" w:rsidR="00EB5620" w:rsidRPr="00FD6704" w:rsidRDefault="00EB5620">
            <w:pPr>
              <w:pStyle w:val="Body"/>
              <w:rPr>
                <w:rFonts w:ascii="Arial" w:hAnsi="Arial" w:cs="Arial"/>
                <w:b/>
                <w:bCs/>
                <w:color w:val="003768"/>
              </w:rPr>
            </w:pPr>
            <w:r w:rsidRPr="00FD6704">
              <w:rPr>
                <w:rFonts w:ascii="Arial" w:hAnsi="Arial" w:cs="Arial"/>
                <w:b/>
                <w:bCs/>
                <w:color w:val="003768"/>
              </w:rPr>
              <w:t>Start date</w:t>
            </w:r>
          </w:p>
        </w:tc>
        <w:tc>
          <w:tcPr>
            <w:tcW w:w="3823" w:type="pct"/>
            <w:gridSpan w:val="2"/>
            <w:tcBorders>
              <w:top w:val="single" w:sz="4" w:space="0" w:color="FFC000"/>
            </w:tcBorders>
            <w:shd w:val="clear" w:color="auto" w:fill="auto"/>
          </w:tcPr>
          <w:p w14:paraId="043965B9" w14:textId="77777777" w:rsidR="00EB5620" w:rsidRPr="00746F03" w:rsidRDefault="00EB5620">
            <w:pPr>
              <w:pStyle w:val="Body"/>
              <w:rPr>
                <w:rFonts w:ascii="Arial" w:hAnsi="Arial" w:cs="Arial"/>
                <w:lang w:val="en-US"/>
              </w:rPr>
            </w:pPr>
            <w:r w:rsidRPr="00746F03">
              <w:rPr>
                <w:rFonts w:ascii="Arial" w:hAnsi="Arial" w:cs="Arial"/>
                <w:lang w:val="en-US"/>
              </w:rPr>
              <w:t>The date set out in Annex I of the Approved EU SCCs.</w:t>
            </w:r>
          </w:p>
        </w:tc>
      </w:tr>
      <w:tr w:rsidR="00EB5620" w:rsidRPr="00746F03" w14:paraId="024A9A16" w14:textId="77777777">
        <w:tc>
          <w:tcPr>
            <w:tcW w:w="1177" w:type="pct"/>
            <w:shd w:val="clear" w:color="auto" w:fill="FFF0A9"/>
            <w:vAlign w:val="center"/>
          </w:tcPr>
          <w:p w14:paraId="043D7739" w14:textId="77777777" w:rsidR="00EB5620" w:rsidRPr="00FD6704" w:rsidRDefault="00EB5620">
            <w:pPr>
              <w:pStyle w:val="Body"/>
              <w:rPr>
                <w:rFonts w:ascii="Arial" w:hAnsi="Arial" w:cs="Arial"/>
                <w:b/>
                <w:bCs/>
                <w:color w:val="003768"/>
              </w:rPr>
            </w:pPr>
            <w:r w:rsidRPr="00FD6704">
              <w:rPr>
                <w:rFonts w:ascii="Arial" w:hAnsi="Arial" w:cs="Arial"/>
                <w:b/>
                <w:bCs/>
                <w:color w:val="003768"/>
              </w:rPr>
              <w:t>The Parties</w:t>
            </w:r>
          </w:p>
        </w:tc>
        <w:tc>
          <w:tcPr>
            <w:tcW w:w="1911" w:type="pct"/>
            <w:shd w:val="clear" w:color="auto" w:fill="FFF0A9"/>
            <w:vAlign w:val="center"/>
          </w:tcPr>
          <w:p w14:paraId="45138ACA" w14:textId="77777777" w:rsidR="00EB5620" w:rsidRPr="00746F03" w:rsidRDefault="00EB5620">
            <w:pPr>
              <w:pStyle w:val="Body"/>
              <w:rPr>
                <w:rFonts w:ascii="Arial" w:hAnsi="Arial" w:cs="Arial"/>
                <w:b/>
                <w:bCs/>
                <w:color w:val="003768"/>
                <w:lang w:val="en-US"/>
              </w:rPr>
            </w:pPr>
            <w:r w:rsidRPr="00746F03">
              <w:rPr>
                <w:rFonts w:ascii="Arial" w:hAnsi="Arial" w:cs="Arial"/>
                <w:b/>
                <w:bCs/>
                <w:color w:val="003768"/>
                <w:lang w:val="en-US"/>
              </w:rPr>
              <w:t>Exporter (who sends the Restricted Transfer)</w:t>
            </w:r>
          </w:p>
        </w:tc>
        <w:tc>
          <w:tcPr>
            <w:tcW w:w="1912" w:type="pct"/>
            <w:shd w:val="clear" w:color="auto" w:fill="FFF0A9"/>
            <w:vAlign w:val="center"/>
          </w:tcPr>
          <w:p w14:paraId="19C0535B" w14:textId="77777777" w:rsidR="00EB5620" w:rsidRPr="00746F03" w:rsidRDefault="00EB5620">
            <w:pPr>
              <w:pStyle w:val="Body"/>
              <w:rPr>
                <w:rFonts w:ascii="Arial" w:hAnsi="Arial" w:cs="Arial"/>
                <w:b/>
                <w:bCs/>
                <w:color w:val="003768"/>
                <w:lang w:val="en-US"/>
              </w:rPr>
            </w:pPr>
            <w:r w:rsidRPr="00746F03">
              <w:rPr>
                <w:rFonts w:ascii="Arial" w:hAnsi="Arial" w:cs="Arial"/>
                <w:b/>
                <w:bCs/>
                <w:color w:val="003768"/>
                <w:lang w:val="en-US"/>
              </w:rPr>
              <w:t>Importer (who receives the Restricted Transfer)</w:t>
            </w:r>
          </w:p>
        </w:tc>
      </w:tr>
      <w:tr w:rsidR="00EB5620" w:rsidRPr="00746F03" w14:paraId="44652210" w14:textId="77777777">
        <w:tc>
          <w:tcPr>
            <w:tcW w:w="1177" w:type="pct"/>
            <w:shd w:val="clear" w:color="auto" w:fill="FFF9DD"/>
          </w:tcPr>
          <w:p w14:paraId="0305F12C" w14:textId="77777777" w:rsidR="00EB5620" w:rsidRPr="00FD6704" w:rsidRDefault="00EB5620">
            <w:pPr>
              <w:pStyle w:val="Body"/>
              <w:rPr>
                <w:rFonts w:ascii="Arial" w:hAnsi="Arial" w:cs="Arial"/>
                <w:b/>
                <w:bCs/>
                <w:color w:val="003768"/>
              </w:rPr>
            </w:pPr>
            <w:r w:rsidRPr="00FD6704">
              <w:rPr>
                <w:rFonts w:ascii="Arial" w:hAnsi="Arial" w:cs="Arial"/>
                <w:b/>
                <w:bCs/>
                <w:color w:val="003768"/>
              </w:rPr>
              <w:t>Parties’ details</w:t>
            </w:r>
          </w:p>
        </w:tc>
        <w:tc>
          <w:tcPr>
            <w:tcW w:w="1911" w:type="pct"/>
          </w:tcPr>
          <w:p w14:paraId="1601DACA" w14:textId="77777777" w:rsidR="00EB5620" w:rsidRPr="00746F03" w:rsidRDefault="00EB5620">
            <w:pPr>
              <w:pStyle w:val="Body"/>
              <w:rPr>
                <w:rFonts w:ascii="Arial" w:hAnsi="Arial" w:cs="Arial"/>
                <w:lang w:val="en-US"/>
              </w:rPr>
            </w:pPr>
            <w:r w:rsidRPr="00746F03">
              <w:rPr>
                <w:rFonts w:ascii="Arial" w:hAnsi="Arial" w:cs="Arial"/>
                <w:lang w:val="en-US"/>
              </w:rPr>
              <w:t>Full legal name: the Customer  named in the Agreement.</w:t>
            </w:r>
          </w:p>
          <w:p w14:paraId="60332B87" w14:textId="77777777" w:rsidR="00EB5620" w:rsidRPr="00746F03" w:rsidRDefault="00EB5620">
            <w:pPr>
              <w:pStyle w:val="Body"/>
              <w:rPr>
                <w:rFonts w:ascii="Arial" w:hAnsi="Arial" w:cs="Arial"/>
                <w:lang w:val="en-US"/>
              </w:rPr>
            </w:pPr>
            <w:r w:rsidRPr="00746F03">
              <w:rPr>
                <w:rFonts w:ascii="Arial" w:hAnsi="Arial" w:cs="Arial"/>
                <w:lang w:val="en-US"/>
              </w:rPr>
              <w:t>Main address (if a company registered address): As set out in Annex I of the Approved EU SCCs.</w:t>
            </w:r>
          </w:p>
          <w:p w14:paraId="2619BC72" w14:textId="77777777" w:rsidR="00EB5620" w:rsidRPr="00746F03" w:rsidRDefault="00EB5620">
            <w:pPr>
              <w:pStyle w:val="Body"/>
              <w:rPr>
                <w:rFonts w:ascii="Arial" w:hAnsi="Arial" w:cs="Arial"/>
                <w:lang w:val="en-US"/>
              </w:rPr>
            </w:pPr>
            <w:r w:rsidRPr="00746F03">
              <w:rPr>
                <w:rFonts w:ascii="Arial" w:hAnsi="Arial" w:cs="Arial"/>
                <w:lang w:val="en-US"/>
              </w:rPr>
              <w:t>Official registration number (if any) (company number or similar identifier): Where set out in the Agreement.</w:t>
            </w:r>
          </w:p>
        </w:tc>
        <w:tc>
          <w:tcPr>
            <w:tcW w:w="1912" w:type="pct"/>
          </w:tcPr>
          <w:p w14:paraId="445F1FFB" w14:textId="77777777" w:rsidR="00EB5620" w:rsidRPr="00EB5620" w:rsidRDefault="00EB5620">
            <w:pPr>
              <w:pStyle w:val="Body"/>
              <w:rPr>
                <w:rFonts w:ascii="Arial" w:hAnsi="Arial" w:cs="Arial"/>
                <w:lang w:val="en-US"/>
              </w:rPr>
            </w:pPr>
            <w:r w:rsidRPr="00746F03">
              <w:rPr>
                <w:rFonts w:ascii="Arial" w:hAnsi="Arial" w:cs="Arial"/>
                <w:lang w:val="en-US"/>
              </w:rPr>
              <w:t xml:space="preserve">Full </w:t>
            </w:r>
            <w:r w:rsidRPr="00EB5620">
              <w:rPr>
                <w:rFonts w:ascii="Arial" w:hAnsi="Arial" w:cs="Arial"/>
                <w:lang w:val="en-US"/>
              </w:rPr>
              <w:t>legal name: Silktide Limited.</w:t>
            </w:r>
          </w:p>
          <w:p w14:paraId="105AAD5D" w14:textId="77777777" w:rsidR="00EB5620" w:rsidRPr="00EB5620" w:rsidRDefault="00EB5620">
            <w:pPr>
              <w:pStyle w:val="Body"/>
              <w:rPr>
                <w:rFonts w:ascii="Arial" w:hAnsi="Arial" w:cs="Arial"/>
                <w:lang w:val="en-US"/>
              </w:rPr>
            </w:pPr>
            <w:r w:rsidRPr="00EB5620">
              <w:rPr>
                <w:rFonts w:ascii="Arial" w:hAnsi="Arial" w:cs="Arial"/>
                <w:lang w:val="en-US"/>
              </w:rPr>
              <w:t xml:space="preserve">Main address: </w:t>
            </w:r>
            <w:r w:rsidRPr="009C19B6">
              <w:rPr>
                <w:rFonts w:ascii="Arial" w:hAnsi="Arial" w:cs="Arial"/>
                <w:lang w:val="en-US"/>
              </w:rPr>
              <w:t>Brunel Parkway, Pride Park, Derby DE24 8HR, United Kingdom</w:t>
            </w:r>
            <w:r w:rsidRPr="00EB5620">
              <w:rPr>
                <w:rFonts w:ascii="Arial" w:hAnsi="Arial" w:cs="Arial"/>
                <w:lang w:val="en-US"/>
              </w:rPr>
              <w:t>.</w:t>
            </w:r>
          </w:p>
          <w:p w14:paraId="01B97FB6" w14:textId="77777777" w:rsidR="00EB5620" w:rsidRPr="00746F03" w:rsidRDefault="00EB5620">
            <w:pPr>
              <w:pStyle w:val="Body"/>
              <w:rPr>
                <w:rFonts w:ascii="Arial" w:hAnsi="Arial" w:cs="Arial"/>
                <w:lang w:val="en-US"/>
              </w:rPr>
            </w:pPr>
            <w:r w:rsidRPr="00EB5620">
              <w:rPr>
                <w:rFonts w:ascii="Arial" w:hAnsi="Arial" w:cs="Arial"/>
                <w:lang w:val="en-US"/>
              </w:rPr>
              <w:t xml:space="preserve">Official registration number (if any) (company number or similar identifier): </w:t>
            </w:r>
            <w:r w:rsidR="00FA74F0" w:rsidRPr="009C19B6">
              <w:rPr>
                <w:rFonts w:ascii="Arial" w:hAnsi="Arial" w:cs="Arial"/>
                <w:lang w:val="en-US"/>
              </w:rPr>
              <w:t>04242422</w:t>
            </w:r>
            <w:r w:rsidRPr="00FA74F0">
              <w:rPr>
                <w:rFonts w:ascii="Arial" w:hAnsi="Arial" w:cs="Arial"/>
                <w:lang w:val="en-US"/>
              </w:rPr>
              <w:t>.</w:t>
            </w:r>
          </w:p>
        </w:tc>
      </w:tr>
      <w:tr w:rsidR="00EB5620" w:rsidRPr="00746F03" w14:paraId="7603F0E5" w14:textId="77777777">
        <w:tc>
          <w:tcPr>
            <w:tcW w:w="1177" w:type="pct"/>
            <w:shd w:val="clear" w:color="auto" w:fill="FFF9DD"/>
          </w:tcPr>
          <w:p w14:paraId="76D89B73" w14:textId="77777777" w:rsidR="00EB5620" w:rsidRPr="00FD6704" w:rsidRDefault="00EB5620">
            <w:pPr>
              <w:pStyle w:val="Body"/>
              <w:rPr>
                <w:rFonts w:ascii="Arial" w:hAnsi="Arial" w:cs="Arial"/>
                <w:b/>
                <w:bCs/>
                <w:color w:val="003768"/>
              </w:rPr>
            </w:pPr>
            <w:r w:rsidRPr="00FD6704">
              <w:rPr>
                <w:rFonts w:ascii="Arial" w:hAnsi="Arial" w:cs="Arial"/>
                <w:b/>
                <w:bCs/>
                <w:color w:val="003768"/>
              </w:rPr>
              <w:t>Key Contact</w:t>
            </w:r>
          </w:p>
        </w:tc>
        <w:tc>
          <w:tcPr>
            <w:tcW w:w="1911" w:type="pct"/>
          </w:tcPr>
          <w:p w14:paraId="6ED0813D" w14:textId="77777777" w:rsidR="00EB5620" w:rsidRPr="00746F03" w:rsidRDefault="00EB5620">
            <w:pPr>
              <w:pStyle w:val="Body"/>
              <w:rPr>
                <w:rFonts w:ascii="Arial" w:hAnsi="Arial" w:cs="Arial"/>
                <w:lang w:val="en-US"/>
              </w:rPr>
            </w:pPr>
            <w:r w:rsidRPr="00746F03">
              <w:rPr>
                <w:rFonts w:ascii="Arial" w:hAnsi="Arial" w:cs="Arial"/>
                <w:lang w:val="en-US"/>
              </w:rPr>
              <w:t>Full Name (optional): As set out in Annex I of the Approved EU SCCs.</w:t>
            </w:r>
          </w:p>
          <w:p w14:paraId="4FFAE1BE" w14:textId="77777777" w:rsidR="00EB5620" w:rsidRPr="00746F03" w:rsidRDefault="00EB5620">
            <w:pPr>
              <w:pStyle w:val="Body"/>
              <w:rPr>
                <w:rFonts w:ascii="Arial" w:hAnsi="Arial" w:cs="Arial"/>
                <w:lang w:val="en-US"/>
              </w:rPr>
            </w:pPr>
            <w:r w:rsidRPr="00746F03">
              <w:rPr>
                <w:rFonts w:ascii="Arial" w:hAnsi="Arial" w:cs="Arial"/>
                <w:lang w:val="en-US"/>
              </w:rPr>
              <w:t>Job Title: As set out in Annex I in the Approved EU SCCs</w:t>
            </w:r>
          </w:p>
          <w:p w14:paraId="66B3151B" w14:textId="77777777" w:rsidR="00EB5620" w:rsidRPr="00746F03" w:rsidRDefault="00EB5620">
            <w:pPr>
              <w:pStyle w:val="Body"/>
              <w:rPr>
                <w:rFonts w:ascii="Arial" w:hAnsi="Arial" w:cs="Arial"/>
                <w:lang w:val="en-US"/>
              </w:rPr>
            </w:pPr>
            <w:r w:rsidRPr="00746F03">
              <w:rPr>
                <w:rFonts w:ascii="Arial" w:hAnsi="Arial" w:cs="Arial"/>
                <w:lang w:val="en-US"/>
              </w:rPr>
              <w:t>Contact details including email: As set out in Annex I the Approved EU SCCs.</w:t>
            </w:r>
          </w:p>
        </w:tc>
        <w:tc>
          <w:tcPr>
            <w:tcW w:w="1912" w:type="pct"/>
          </w:tcPr>
          <w:p w14:paraId="7F3D99E7" w14:textId="77777777" w:rsidR="00EB5620" w:rsidRPr="009C19B6" w:rsidRDefault="00EB5620">
            <w:pPr>
              <w:pStyle w:val="Body"/>
              <w:rPr>
                <w:rFonts w:ascii="Arial" w:hAnsi="Arial" w:cs="Arial"/>
                <w:lang w:val="en-US"/>
              </w:rPr>
            </w:pPr>
            <w:r w:rsidRPr="009C19B6">
              <w:rPr>
                <w:rFonts w:ascii="Arial" w:hAnsi="Arial" w:cs="Arial"/>
                <w:lang w:val="en-US"/>
              </w:rPr>
              <w:t xml:space="preserve">Full Name (optional): </w:t>
            </w:r>
            <w:r w:rsidR="009C19B6">
              <w:rPr>
                <w:rFonts w:ascii="Arial" w:hAnsi="Arial" w:cs="Arial"/>
                <w:lang w:val="en-US"/>
              </w:rPr>
              <w:t xml:space="preserve">Lee </w:t>
            </w:r>
            <w:proofErr w:type="spellStart"/>
            <w:r w:rsidR="009C19B6">
              <w:rPr>
                <w:rFonts w:ascii="Arial" w:hAnsi="Arial" w:cs="Arial"/>
                <w:lang w:val="en-US"/>
              </w:rPr>
              <w:t>Percox</w:t>
            </w:r>
            <w:proofErr w:type="spellEnd"/>
          </w:p>
          <w:p w14:paraId="79461EBD" w14:textId="77777777" w:rsidR="00EB5620" w:rsidRPr="00FD6704" w:rsidRDefault="00EB5620">
            <w:pPr>
              <w:pStyle w:val="Body"/>
              <w:rPr>
                <w:rFonts w:ascii="Arial" w:hAnsi="Arial" w:cs="Arial"/>
              </w:rPr>
            </w:pPr>
            <w:r w:rsidRPr="00FD6704">
              <w:rPr>
                <w:rFonts w:ascii="Arial" w:hAnsi="Arial" w:cs="Arial"/>
              </w:rPr>
              <w:t xml:space="preserve">Job Title: </w:t>
            </w:r>
            <w:r w:rsidR="009C19B6">
              <w:rPr>
                <w:rFonts w:ascii="Arial" w:hAnsi="Arial" w:cs="Arial"/>
              </w:rPr>
              <w:t>COO</w:t>
            </w:r>
          </w:p>
          <w:p w14:paraId="12162130" w14:textId="77777777" w:rsidR="00EB5620" w:rsidRPr="00746F03" w:rsidRDefault="00EB5620">
            <w:pPr>
              <w:pStyle w:val="Body"/>
              <w:jc w:val="both"/>
              <w:rPr>
                <w:rFonts w:ascii="Arial" w:hAnsi="Arial" w:cs="Arial"/>
                <w:lang w:val="en-US"/>
              </w:rPr>
            </w:pPr>
            <w:r w:rsidRPr="00746F03">
              <w:rPr>
                <w:rFonts w:ascii="Arial" w:hAnsi="Arial" w:cs="Arial"/>
                <w:lang w:val="en-US"/>
              </w:rPr>
              <w:t xml:space="preserve">Contact details including email: </w:t>
            </w:r>
            <w:r w:rsidR="009C19B6">
              <w:rPr>
                <w:rFonts w:ascii="Arial" w:hAnsi="Arial" w:cs="Arial"/>
                <w:lang w:val="en-US"/>
              </w:rPr>
              <w:t>privacy@silktide.com</w:t>
            </w:r>
          </w:p>
        </w:tc>
      </w:tr>
      <w:tr w:rsidR="00EB5620" w:rsidRPr="00FD6704" w14:paraId="35D9FA51" w14:textId="77777777">
        <w:tc>
          <w:tcPr>
            <w:tcW w:w="1177" w:type="pct"/>
            <w:tcBorders>
              <w:bottom w:val="single" w:sz="18" w:space="0" w:color="FFC000"/>
            </w:tcBorders>
            <w:shd w:val="clear" w:color="auto" w:fill="FFF9DD"/>
          </w:tcPr>
          <w:p w14:paraId="103D85D1" w14:textId="77777777" w:rsidR="00EB5620" w:rsidRPr="00746F03" w:rsidRDefault="00EB5620">
            <w:pPr>
              <w:pStyle w:val="Body"/>
              <w:rPr>
                <w:rFonts w:ascii="Arial" w:hAnsi="Arial" w:cs="Arial"/>
                <w:b/>
                <w:bCs/>
                <w:color w:val="003768"/>
                <w:lang w:val="en-US"/>
              </w:rPr>
            </w:pPr>
            <w:r w:rsidRPr="00746F03">
              <w:rPr>
                <w:rFonts w:ascii="Arial" w:hAnsi="Arial" w:cs="Arial"/>
                <w:b/>
                <w:bCs/>
                <w:color w:val="003768"/>
                <w:lang w:val="en-US"/>
              </w:rPr>
              <w:t>Signature (if required for the purposes of Section ‎2)</w:t>
            </w:r>
          </w:p>
        </w:tc>
        <w:tc>
          <w:tcPr>
            <w:tcW w:w="1911" w:type="pct"/>
            <w:tcBorders>
              <w:bottom w:val="single" w:sz="18" w:space="0" w:color="FFC000"/>
            </w:tcBorders>
          </w:tcPr>
          <w:p w14:paraId="234369E3" w14:textId="77777777" w:rsidR="00EB5620" w:rsidRPr="00FD6704" w:rsidRDefault="00EB5620">
            <w:pPr>
              <w:pStyle w:val="Body"/>
              <w:rPr>
                <w:rFonts w:ascii="Arial" w:hAnsi="Arial" w:cs="Arial"/>
              </w:rPr>
            </w:pPr>
            <w:r>
              <w:rPr>
                <w:rFonts w:ascii="Arial" w:hAnsi="Arial" w:cs="Arial"/>
              </w:rPr>
              <w:t>See the Agreement</w:t>
            </w:r>
            <w:r w:rsidRPr="00FD6704">
              <w:rPr>
                <w:rFonts w:ascii="Arial" w:hAnsi="Arial" w:cs="Arial"/>
              </w:rPr>
              <w:t>.</w:t>
            </w:r>
          </w:p>
        </w:tc>
        <w:tc>
          <w:tcPr>
            <w:tcW w:w="1912" w:type="pct"/>
            <w:tcBorders>
              <w:bottom w:val="single" w:sz="18" w:space="0" w:color="FFC000"/>
            </w:tcBorders>
          </w:tcPr>
          <w:p w14:paraId="6C41DD76" w14:textId="77777777" w:rsidR="00EB5620" w:rsidRPr="00FD6704" w:rsidRDefault="00EB5620">
            <w:pPr>
              <w:pStyle w:val="Body"/>
              <w:rPr>
                <w:rFonts w:ascii="Arial" w:hAnsi="Arial" w:cs="Arial"/>
              </w:rPr>
            </w:pPr>
            <w:r>
              <w:rPr>
                <w:rFonts w:ascii="Arial" w:hAnsi="Arial" w:cs="Arial"/>
              </w:rPr>
              <w:t>See the Agreement</w:t>
            </w:r>
            <w:r w:rsidRPr="00FD6704">
              <w:rPr>
                <w:rFonts w:ascii="Arial" w:hAnsi="Arial" w:cs="Arial"/>
              </w:rPr>
              <w:t>.</w:t>
            </w:r>
          </w:p>
        </w:tc>
      </w:tr>
    </w:tbl>
    <w:p w14:paraId="0664D869" w14:textId="77777777" w:rsidR="00EB5620" w:rsidRDefault="00EB5620" w:rsidP="00EB5620">
      <w:pPr>
        <w:pStyle w:val="Heading3"/>
        <w:rPr>
          <w:rFonts w:ascii="Arial" w:hAnsi="Arial" w:cs="Arial"/>
          <w:sz w:val="20"/>
          <w:szCs w:val="20"/>
        </w:rPr>
      </w:pPr>
    </w:p>
    <w:p w14:paraId="65CEE598" w14:textId="77777777" w:rsidR="00EB5620" w:rsidRPr="00FB7B06" w:rsidRDefault="00EB5620" w:rsidP="00EB5620">
      <w:pPr>
        <w:pStyle w:val="Heading3"/>
        <w:ind w:left="0"/>
        <w:rPr>
          <w:rFonts w:ascii="Arial" w:hAnsi="Arial" w:cs="Arial"/>
          <w:sz w:val="20"/>
          <w:szCs w:val="20"/>
        </w:rPr>
      </w:pPr>
      <w:r w:rsidRPr="00FB7B06">
        <w:rPr>
          <w:rFonts w:ascii="Arial" w:hAnsi="Arial" w:cs="Arial"/>
          <w:sz w:val="20"/>
          <w:szCs w:val="20"/>
        </w:rPr>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84"/>
        <w:gridCol w:w="7108"/>
      </w:tblGrid>
      <w:tr w:rsidR="00EB5620" w:rsidRPr="00746F03" w14:paraId="7B2C843A" w14:textId="77777777">
        <w:tc>
          <w:tcPr>
            <w:tcW w:w="1175" w:type="pct"/>
            <w:shd w:val="clear" w:color="auto" w:fill="FFF9DD"/>
          </w:tcPr>
          <w:p w14:paraId="4D4AF3ED" w14:textId="77777777" w:rsidR="00EB5620" w:rsidRPr="00FD6704" w:rsidRDefault="00EB5620">
            <w:pPr>
              <w:pStyle w:val="Body"/>
              <w:rPr>
                <w:rFonts w:ascii="Arial" w:hAnsi="Arial" w:cs="Arial"/>
                <w:b/>
                <w:bCs/>
                <w:color w:val="003768"/>
              </w:rPr>
            </w:pPr>
            <w:r w:rsidRPr="00FD6704">
              <w:rPr>
                <w:rFonts w:ascii="Arial" w:hAnsi="Arial" w:cs="Arial"/>
                <w:b/>
                <w:bCs/>
                <w:color w:val="003768"/>
              </w:rPr>
              <w:t>Addendum EU SCCs</w:t>
            </w:r>
          </w:p>
        </w:tc>
        <w:tc>
          <w:tcPr>
            <w:tcW w:w="3825" w:type="pct"/>
          </w:tcPr>
          <w:p w14:paraId="4F7CA0AA" w14:textId="77777777" w:rsidR="00EB5620" w:rsidRPr="00746F03" w:rsidRDefault="00EB5620">
            <w:pPr>
              <w:pStyle w:val="Bodyindent"/>
              <w:rPr>
                <w:rFonts w:ascii="Arial" w:hAnsi="Arial" w:cs="Arial"/>
                <w:szCs w:val="20"/>
                <w:lang w:val="en-US"/>
              </w:rPr>
            </w:pPr>
            <w:r w:rsidRPr="00FD6704">
              <w:rPr>
                <w:rFonts w:ascii="Arial" w:eastAsia="Verdana" w:hAnsi="Arial" w:cs="Arial"/>
                <w:szCs w:val="20"/>
              </w:rPr>
              <w:fldChar w:fldCharType="begin">
                <w:ffData>
                  <w:name w:val=""/>
                  <w:enabled/>
                  <w:calcOnExit w:val="0"/>
                  <w:checkBox>
                    <w:size w:val="16"/>
                    <w:default w:val="1"/>
                  </w:checkBox>
                </w:ffData>
              </w:fldChar>
            </w:r>
            <w:r w:rsidRPr="00746F03">
              <w:rPr>
                <w:rFonts w:ascii="Arial" w:eastAsia="Verdana" w:hAnsi="Arial" w:cs="Arial"/>
                <w:szCs w:val="20"/>
                <w:lang w:val="en-US"/>
              </w:rPr>
              <w:instrText xml:space="preserve"> FORMCHECKBOX </w:instrText>
            </w:r>
            <w:r>
              <w:rPr>
                <w:rFonts w:ascii="Arial" w:eastAsia="Verdana" w:hAnsi="Arial" w:cs="Arial"/>
                <w:szCs w:val="20"/>
              </w:rPr>
            </w:r>
            <w:r>
              <w:rPr>
                <w:rFonts w:ascii="Arial" w:eastAsia="Verdana" w:hAnsi="Arial" w:cs="Arial"/>
                <w:szCs w:val="20"/>
              </w:rPr>
              <w:fldChar w:fldCharType="separate"/>
            </w:r>
            <w:r w:rsidRPr="00FD6704">
              <w:rPr>
                <w:rFonts w:ascii="Arial" w:eastAsia="Verdana" w:hAnsi="Arial" w:cs="Arial"/>
                <w:szCs w:val="20"/>
              </w:rPr>
              <w:fldChar w:fldCharType="end"/>
            </w:r>
            <w:r w:rsidRPr="00746F03">
              <w:rPr>
                <w:rFonts w:ascii="Arial" w:eastAsia="Verdana" w:hAnsi="Arial" w:cs="Arial"/>
                <w:szCs w:val="20"/>
                <w:lang w:val="en-US"/>
              </w:rPr>
              <w:t xml:space="preserve"> the Approved EU SCCs, including the Appendix Information and with only the </w:t>
            </w:r>
            <w:r w:rsidRPr="00746F03">
              <w:rPr>
                <w:rFonts w:ascii="Arial" w:hAnsi="Arial" w:cs="Arial"/>
                <w:szCs w:val="20"/>
                <w:lang w:val="en-US"/>
              </w:rPr>
              <w:t xml:space="preserve">following modules, clauses or optional provisions of the Approved EU SCCs brought into effect for the purposes of this Addendum: </w:t>
            </w:r>
          </w:p>
        </w:tc>
      </w:tr>
    </w:tbl>
    <w:p w14:paraId="75D9A98A" w14:textId="77777777" w:rsidR="00EB5620" w:rsidRPr="00FD6704" w:rsidRDefault="00EB5620" w:rsidP="00EB5620">
      <w:pPr>
        <w:rPr>
          <w:rFonts w:ascii="Arial" w:hAnsi="Arial" w:cs="Arial"/>
          <w:vanish/>
          <w:sz w:val="20"/>
          <w:szCs w:val="20"/>
        </w:rPr>
      </w:pPr>
    </w:p>
    <w:tbl>
      <w:tblPr>
        <w:tblW w:w="9067" w:type="dxa"/>
        <w:tblBorders>
          <w:left w:val="single" w:sz="4" w:space="0" w:color="FFC000"/>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3"/>
        <w:gridCol w:w="1224"/>
        <w:gridCol w:w="1224"/>
        <w:gridCol w:w="3185"/>
      </w:tblGrid>
      <w:tr w:rsidR="00EB5620" w:rsidRPr="00746F03" w14:paraId="06AF19AD" w14:textId="77777777">
        <w:tc>
          <w:tcPr>
            <w:tcW w:w="988" w:type="dxa"/>
            <w:tcBorders>
              <w:top w:val="single" w:sz="4" w:space="0" w:color="FFC000"/>
            </w:tcBorders>
            <w:shd w:val="clear" w:color="auto" w:fill="auto"/>
          </w:tcPr>
          <w:p w14:paraId="3A4A18BB" w14:textId="77777777" w:rsidR="00EB5620" w:rsidRPr="00553087" w:rsidRDefault="00EB5620">
            <w:pPr>
              <w:pStyle w:val="Body"/>
              <w:rPr>
                <w:rFonts w:ascii="Arial" w:hAnsi="Arial" w:cs="Arial"/>
              </w:rPr>
            </w:pPr>
            <w:r w:rsidRPr="00553087">
              <w:rPr>
                <w:rFonts w:ascii="Arial" w:hAnsi="Arial" w:cs="Arial"/>
              </w:rPr>
              <w:t>Module</w:t>
            </w:r>
          </w:p>
        </w:tc>
        <w:tc>
          <w:tcPr>
            <w:tcW w:w="1223" w:type="dxa"/>
            <w:tcBorders>
              <w:top w:val="single" w:sz="4" w:space="0" w:color="FFC000"/>
            </w:tcBorders>
            <w:shd w:val="clear" w:color="auto" w:fill="auto"/>
          </w:tcPr>
          <w:p w14:paraId="47A392AD" w14:textId="77777777" w:rsidR="00EB5620" w:rsidRPr="00553087" w:rsidRDefault="00EB5620">
            <w:pPr>
              <w:pStyle w:val="Body"/>
              <w:rPr>
                <w:rFonts w:ascii="Arial" w:hAnsi="Arial" w:cs="Arial"/>
              </w:rPr>
            </w:pPr>
            <w:r w:rsidRPr="00553087">
              <w:rPr>
                <w:rFonts w:ascii="Arial" w:hAnsi="Arial" w:cs="Arial"/>
              </w:rPr>
              <w:t>Module in operation</w:t>
            </w:r>
          </w:p>
        </w:tc>
        <w:tc>
          <w:tcPr>
            <w:tcW w:w="1223" w:type="dxa"/>
            <w:tcBorders>
              <w:top w:val="single" w:sz="4" w:space="0" w:color="FFC000"/>
            </w:tcBorders>
            <w:shd w:val="clear" w:color="auto" w:fill="auto"/>
          </w:tcPr>
          <w:p w14:paraId="693EE165" w14:textId="77777777" w:rsidR="00EB5620" w:rsidRPr="00553087" w:rsidRDefault="00EB5620">
            <w:pPr>
              <w:pStyle w:val="Body"/>
              <w:rPr>
                <w:rFonts w:ascii="Arial" w:hAnsi="Arial" w:cs="Arial"/>
              </w:rPr>
            </w:pPr>
            <w:r w:rsidRPr="00553087">
              <w:rPr>
                <w:rFonts w:ascii="Arial" w:hAnsi="Arial" w:cs="Arial"/>
              </w:rPr>
              <w:t xml:space="preserve">Clause 11 </w:t>
            </w:r>
            <w:r w:rsidRPr="00553087">
              <w:rPr>
                <w:rFonts w:ascii="Arial" w:hAnsi="Arial" w:cs="Arial"/>
              </w:rPr>
              <w:br/>
              <w:t>(Option)</w:t>
            </w:r>
          </w:p>
        </w:tc>
        <w:tc>
          <w:tcPr>
            <w:tcW w:w="1224" w:type="dxa"/>
            <w:tcBorders>
              <w:top w:val="single" w:sz="4" w:space="0" w:color="FFC000"/>
            </w:tcBorders>
            <w:shd w:val="clear" w:color="auto" w:fill="auto"/>
          </w:tcPr>
          <w:p w14:paraId="2C59C4C5" w14:textId="77777777" w:rsidR="00EB5620" w:rsidRPr="00553087" w:rsidRDefault="00EB5620">
            <w:pPr>
              <w:pStyle w:val="Body"/>
              <w:rPr>
                <w:rFonts w:ascii="Arial" w:hAnsi="Arial" w:cs="Arial"/>
              </w:rPr>
            </w:pPr>
            <w:r w:rsidRPr="00553087">
              <w:rPr>
                <w:rFonts w:ascii="Arial" w:hAnsi="Arial" w:cs="Arial"/>
              </w:rPr>
              <w:t>Clause 9a General Authorisation</w:t>
            </w:r>
          </w:p>
        </w:tc>
        <w:tc>
          <w:tcPr>
            <w:tcW w:w="1224" w:type="dxa"/>
            <w:tcBorders>
              <w:top w:val="single" w:sz="4" w:space="0" w:color="FFC000"/>
            </w:tcBorders>
            <w:shd w:val="clear" w:color="auto" w:fill="auto"/>
          </w:tcPr>
          <w:p w14:paraId="0ADE94AF" w14:textId="77777777" w:rsidR="00EB5620" w:rsidRPr="00553087" w:rsidRDefault="00EB5620">
            <w:pPr>
              <w:pStyle w:val="Body"/>
              <w:rPr>
                <w:rFonts w:ascii="Arial" w:hAnsi="Arial" w:cs="Arial"/>
              </w:rPr>
            </w:pPr>
            <w:r w:rsidRPr="00553087">
              <w:rPr>
                <w:rFonts w:ascii="Arial" w:hAnsi="Arial" w:cs="Arial"/>
              </w:rPr>
              <w:t>Clause 9a (Time period)</w:t>
            </w:r>
          </w:p>
        </w:tc>
        <w:tc>
          <w:tcPr>
            <w:tcW w:w="3185" w:type="dxa"/>
            <w:tcBorders>
              <w:top w:val="single" w:sz="4" w:space="0" w:color="FFC000"/>
            </w:tcBorders>
            <w:shd w:val="clear" w:color="auto" w:fill="auto"/>
          </w:tcPr>
          <w:p w14:paraId="17FAAC42" w14:textId="77777777" w:rsidR="00EB5620" w:rsidRPr="00746F03" w:rsidRDefault="00EB5620">
            <w:pPr>
              <w:pStyle w:val="Body"/>
              <w:rPr>
                <w:rFonts w:ascii="Arial" w:hAnsi="Arial" w:cs="Arial"/>
                <w:lang w:val="en-US"/>
              </w:rPr>
            </w:pPr>
            <w:r w:rsidRPr="00746F03">
              <w:rPr>
                <w:rFonts w:ascii="Arial" w:hAnsi="Arial" w:cs="Arial"/>
                <w:lang w:val="en-US"/>
              </w:rPr>
              <w:t>Is personal data received from the Importer combined with personal data collected by the Exporter?</w:t>
            </w:r>
          </w:p>
        </w:tc>
      </w:tr>
      <w:tr w:rsidR="00EB5620" w:rsidRPr="00553087" w14:paraId="1162A28B" w14:textId="77777777">
        <w:tc>
          <w:tcPr>
            <w:tcW w:w="988" w:type="dxa"/>
            <w:shd w:val="clear" w:color="auto" w:fill="auto"/>
          </w:tcPr>
          <w:p w14:paraId="0678B015" w14:textId="77777777" w:rsidR="00EB5620" w:rsidRPr="00553087" w:rsidRDefault="00EB5620">
            <w:pPr>
              <w:pStyle w:val="Body"/>
              <w:jc w:val="center"/>
              <w:rPr>
                <w:rFonts w:ascii="Arial" w:hAnsi="Arial" w:cs="Arial"/>
              </w:rPr>
            </w:pPr>
            <w:r w:rsidRPr="00553087">
              <w:rPr>
                <w:rFonts w:ascii="Arial" w:hAnsi="Arial" w:cs="Arial"/>
              </w:rPr>
              <w:t>1</w:t>
            </w:r>
          </w:p>
        </w:tc>
        <w:tc>
          <w:tcPr>
            <w:tcW w:w="1223" w:type="dxa"/>
            <w:shd w:val="clear" w:color="auto" w:fill="auto"/>
          </w:tcPr>
          <w:p w14:paraId="5F07CBE0" w14:textId="77777777" w:rsidR="00EB5620" w:rsidRPr="00553087" w:rsidRDefault="00EB5620">
            <w:pPr>
              <w:pStyle w:val="Body"/>
              <w:rPr>
                <w:rFonts w:ascii="Arial" w:hAnsi="Arial" w:cs="Arial"/>
              </w:rPr>
            </w:pPr>
            <w:r w:rsidRPr="00553087">
              <w:rPr>
                <w:rFonts w:ascii="Arial" w:hAnsi="Arial" w:cs="Arial"/>
              </w:rPr>
              <w:t>no</w:t>
            </w:r>
          </w:p>
        </w:tc>
        <w:tc>
          <w:tcPr>
            <w:tcW w:w="1223" w:type="dxa"/>
            <w:shd w:val="clear" w:color="auto" w:fill="auto"/>
          </w:tcPr>
          <w:p w14:paraId="49253DB2" w14:textId="77777777" w:rsidR="00EB5620" w:rsidRPr="00553087" w:rsidRDefault="00EB5620">
            <w:pPr>
              <w:pStyle w:val="Body"/>
              <w:rPr>
                <w:rFonts w:ascii="Arial" w:hAnsi="Arial" w:cs="Arial"/>
              </w:rPr>
            </w:pPr>
            <w:r w:rsidRPr="00553087">
              <w:rPr>
                <w:rFonts w:ascii="Arial" w:hAnsi="Arial" w:cs="Arial"/>
              </w:rPr>
              <w:t>not used</w:t>
            </w:r>
          </w:p>
        </w:tc>
        <w:tc>
          <w:tcPr>
            <w:tcW w:w="1224" w:type="dxa"/>
            <w:shd w:val="clear" w:color="auto" w:fill="FFF0A9"/>
          </w:tcPr>
          <w:p w14:paraId="34BCB007" w14:textId="77777777" w:rsidR="00EB5620" w:rsidRPr="00553087" w:rsidRDefault="00EB5620">
            <w:pPr>
              <w:pStyle w:val="Body"/>
              <w:numPr>
                <w:ilvl w:val="0"/>
                <w:numId w:val="0"/>
              </w:numPr>
              <w:rPr>
                <w:rFonts w:ascii="Arial" w:hAnsi="Arial" w:cs="Arial"/>
              </w:rPr>
            </w:pPr>
            <w:r w:rsidRPr="00553087">
              <w:rPr>
                <w:rFonts w:ascii="Arial" w:hAnsi="Arial" w:cs="Arial"/>
              </w:rPr>
              <w:t>-</w:t>
            </w:r>
          </w:p>
        </w:tc>
        <w:tc>
          <w:tcPr>
            <w:tcW w:w="1224" w:type="dxa"/>
            <w:shd w:val="clear" w:color="auto" w:fill="FFF0A9"/>
          </w:tcPr>
          <w:p w14:paraId="45B9D8A1" w14:textId="77777777" w:rsidR="00EB5620" w:rsidRPr="00553087" w:rsidRDefault="00EB5620">
            <w:pPr>
              <w:pStyle w:val="Body"/>
              <w:rPr>
                <w:rFonts w:ascii="Arial" w:hAnsi="Arial" w:cs="Arial"/>
              </w:rPr>
            </w:pPr>
            <w:r w:rsidRPr="00553087">
              <w:rPr>
                <w:rFonts w:ascii="Arial" w:hAnsi="Arial" w:cs="Arial"/>
              </w:rPr>
              <w:t>-</w:t>
            </w:r>
          </w:p>
        </w:tc>
        <w:tc>
          <w:tcPr>
            <w:tcW w:w="3185" w:type="dxa"/>
            <w:shd w:val="clear" w:color="auto" w:fill="FFF0A9"/>
          </w:tcPr>
          <w:p w14:paraId="05B87B66" w14:textId="77777777" w:rsidR="00EB5620" w:rsidRPr="00553087" w:rsidRDefault="00EB5620">
            <w:pPr>
              <w:pStyle w:val="Body"/>
              <w:rPr>
                <w:rFonts w:ascii="Arial" w:hAnsi="Arial" w:cs="Arial"/>
              </w:rPr>
            </w:pPr>
            <w:r w:rsidRPr="00553087">
              <w:rPr>
                <w:rFonts w:ascii="Arial" w:hAnsi="Arial" w:cs="Arial"/>
              </w:rPr>
              <w:t>-</w:t>
            </w:r>
          </w:p>
        </w:tc>
      </w:tr>
      <w:tr w:rsidR="00EB5620" w:rsidRPr="00553087" w14:paraId="04E492AF" w14:textId="77777777">
        <w:tc>
          <w:tcPr>
            <w:tcW w:w="988" w:type="dxa"/>
            <w:shd w:val="clear" w:color="auto" w:fill="auto"/>
          </w:tcPr>
          <w:p w14:paraId="1002619A" w14:textId="77777777" w:rsidR="00EB5620" w:rsidRPr="00553087" w:rsidRDefault="00EB5620">
            <w:pPr>
              <w:pStyle w:val="Body"/>
              <w:jc w:val="center"/>
              <w:rPr>
                <w:rFonts w:ascii="Arial" w:hAnsi="Arial" w:cs="Arial"/>
              </w:rPr>
            </w:pPr>
            <w:r w:rsidRPr="00553087">
              <w:rPr>
                <w:rFonts w:ascii="Arial" w:hAnsi="Arial" w:cs="Arial"/>
              </w:rPr>
              <w:t>2</w:t>
            </w:r>
          </w:p>
        </w:tc>
        <w:tc>
          <w:tcPr>
            <w:tcW w:w="1223" w:type="dxa"/>
            <w:shd w:val="clear" w:color="auto" w:fill="auto"/>
          </w:tcPr>
          <w:p w14:paraId="4666FFC7" w14:textId="77777777" w:rsidR="00EB5620" w:rsidRPr="00553087" w:rsidRDefault="00EB5620">
            <w:pPr>
              <w:pStyle w:val="Body"/>
              <w:rPr>
                <w:rFonts w:ascii="Arial" w:hAnsi="Arial" w:cs="Arial"/>
              </w:rPr>
            </w:pPr>
            <w:r w:rsidRPr="00553087">
              <w:rPr>
                <w:rFonts w:ascii="Arial" w:hAnsi="Arial" w:cs="Arial"/>
              </w:rPr>
              <w:t>yes</w:t>
            </w:r>
          </w:p>
        </w:tc>
        <w:tc>
          <w:tcPr>
            <w:tcW w:w="1223" w:type="dxa"/>
            <w:shd w:val="clear" w:color="auto" w:fill="auto"/>
          </w:tcPr>
          <w:p w14:paraId="786F3CEC" w14:textId="77777777" w:rsidR="00EB5620" w:rsidRPr="00553087" w:rsidRDefault="00EB5620">
            <w:pPr>
              <w:pStyle w:val="Body"/>
              <w:rPr>
                <w:rFonts w:ascii="Arial" w:hAnsi="Arial" w:cs="Arial"/>
              </w:rPr>
            </w:pPr>
            <w:r w:rsidRPr="00553087">
              <w:rPr>
                <w:rFonts w:ascii="Arial" w:hAnsi="Arial" w:cs="Arial"/>
              </w:rPr>
              <w:t>not used</w:t>
            </w:r>
          </w:p>
        </w:tc>
        <w:tc>
          <w:tcPr>
            <w:tcW w:w="1224" w:type="dxa"/>
            <w:shd w:val="clear" w:color="auto" w:fill="auto"/>
          </w:tcPr>
          <w:p w14:paraId="5E811C73" w14:textId="77777777" w:rsidR="00EB5620" w:rsidRPr="00553087" w:rsidRDefault="00EB5620">
            <w:pPr>
              <w:pStyle w:val="Body"/>
              <w:rPr>
                <w:rFonts w:ascii="Arial" w:hAnsi="Arial" w:cs="Arial"/>
              </w:rPr>
            </w:pPr>
            <w:r w:rsidRPr="00553087">
              <w:rPr>
                <w:rFonts w:ascii="Arial" w:hAnsi="Arial" w:cs="Arial"/>
              </w:rPr>
              <w:t>Yes</w:t>
            </w:r>
          </w:p>
        </w:tc>
        <w:tc>
          <w:tcPr>
            <w:tcW w:w="1224" w:type="dxa"/>
            <w:shd w:val="clear" w:color="auto" w:fill="auto"/>
          </w:tcPr>
          <w:p w14:paraId="1A2D4537" w14:textId="77777777" w:rsidR="00EB5620" w:rsidRPr="00553087" w:rsidRDefault="00EB5620">
            <w:pPr>
              <w:pStyle w:val="Body"/>
              <w:rPr>
                <w:rFonts w:ascii="Arial" w:hAnsi="Arial" w:cs="Arial"/>
              </w:rPr>
            </w:pPr>
            <w:r>
              <w:rPr>
                <w:rFonts w:ascii="Arial" w:hAnsi="Arial" w:cs="Arial"/>
              </w:rPr>
              <w:t>3</w:t>
            </w:r>
            <w:r w:rsidRPr="00553087">
              <w:rPr>
                <w:rFonts w:ascii="Arial" w:hAnsi="Arial" w:cs="Arial"/>
              </w:rPr>
              <w:t>0 days</w:t>
            </w:r>
          </w:p>
        </w:tc>
        <w:tc>
          <w:tcPr>
            <w:tcW w:w="3185" w:type="dxa"/>
            <w:shd w:val="clear" w:color="auto" w:fill="FFF0A9"/>
          </w:tcPr>
          <w:p w14:paraId="55C515DD" w14:textId="77777777" w:rsidR="00EB5620" w:rsidRPr="00553087" w:rsidRDefault="00EB5620">
            <w:pPr>
              <w:pStyle w:val="Body"/>
              <w:rPr>
                <w:rFonts w:ascii="Arial" w:hAnsi="Arial" w:cs="Arial"/>
              </w:rPr>
            </w:pPr>
            <w:r w:rsidRPr="00553087">
              <w:rPr>
                <w:rFonts w:ascii="Arial" w:hAnsi="Arial" w:cs="Arial"/>
              </w:rPr>
              <w:t>-</w:t>
            </w:r>
          </w:p>
        </w:tc>
      </w:tr>
      <w:tr w:rsidR="00EB5620" w:rsidRPr="00553087" w14:paraId="44AD85A5" w14:textId="77777777">
        <w:tc>
          <w:tcPr>
            <w:tcW w:w="988" w:type="dxa"/>
            <w:shd w:val="clear" w:color="auto" w:fill="auto"/>
          </w:tcPr>
          <w:p w14:paraId="4FDBFD6B" w14:textId="77777777" w:rsidR="00EB5620" w:rsidRPr="00553087" w:rsidRDefault="00EB5620">
            <w:pPr>
              <w:pStyle w:val="Body"/>
              <w:jc w:val="center"/>
              <w:rPr>
                <w:rFonts w:ascii="Arial" w:hAnsi="Arial" w:cs="Arial"/>
              </w:rPr>
            </w:pPr>
            <w:r w:rsidRPr="00553087">
              <w:rPr>
                <w:rFonts w:ascii="Arial" w:hAnsi="Arial" w:cs="Arial"/>
              </w:rPr>
              <w:t>3</w:t>
            </w:r>
          </w:p>
        </w:tc>
        <w:tc>
          <w:tcPr>
            <w:tcW w:w="1223" w:type="dxa"/>
            <w:shd w:val="clear" w:color="auto" w:fill="auto"/>
          </w:tcPr>
          <w:p w14:paraId="4595D467" w14:textId="77777777" w:rsidR="00EB5620" w:rsidRPr="00553087" w:rsidRDefault="00EB5620">
            <w:pPr>
              <w:pStyle w:val="Body"/>
              <w:rPr>
                <w:rFonts w:ascii="Arial" w:hAnsi="Arial" w:cs="Arial"/>
              </w:rPr>
            </w:pPr>
            <w:r w:rsidRPr="00553087">
              <w:rPr>
                <w:rFonts w:ascii="Arial" w:hAnsi="Arial" w:cs="Arial"/>
              </w:rPr>
              <w:t>yes</w:t>
            </w:r>
          </w:p>
        </w:tc>
        <w:tc>
          <w:tcPr>
            <w:tcW w:w="1223" w:type="dxa"/>
            <w:shd w:val="clear" w:color="auto" w:fill="auto"/>
          </w:tcPr>
          <w:p w14:paraId="200247CA" w14:textId="77777777" w:rsidR="00EB5620" w:rsidRPr="00553087" w:rsidRDefault="00EB5620">
            <w:pPr>
              <w:pStyle w:val="Body"/>
              <w:rPr>
                <w:rFonts w:ascii="Arial" w:hAnsi="Arial" w:cs="Arial"/>
              </w:rPr>
            </w:pPr>
            <w:r w:rsidRPr="00553087">
              <w:rPr>
                <w:rFonts w:ascii="Arial" w:hAnsi="Arial" w:cs="Arial"/>
              </w:rPr>
              <w:t>not used</w:t>
            </w:r>
          </w:p>
        </w:tc>
        <w:tc>
          <w:tcPr>
            <w:tcW w:w="1224" w:type="dxa"/>
            <w:shd w:val="clear" w:color="auto" w:fill="auto"/>
          </w:tcPr>
          <w:p w14:paraId="1288D818" w14:textId="77777777" w:rsidR="00EB5620" w:rsidRPr="00553087" w:rsidRDefault="00EB5620">
            <w:pPr>
              <w:pStyle w:val="Body"/>
              <w:rPr>
                <w:rFonts w:ascii="Arial" w:hAnsi="Arial" w:cs="Arial"/>
              </w:rPr>
            </w:pPr>
            <w:r w:rsidRPr="00553087">
              <w:rPr>
                <w:rFonts w:ascii="Arial" w:hAnsi="Arial" w:cs="Arial"/>
              </w:rPr>
              <w:t>Yes</w:t>
            </w:r>
          </w:p>
        </w:tc>
        <w:tc>
          <w:tcPr>
            <w:tcW w:w="1224" w:type="dxa"/>
            <w:shd w:val="clear" w:color="auto" w:fill="auto"/>
          </w:tcPr>
          <w:p w14:paraId="26D6BDAD" w14:textId="77777777" w:rsidR="00EB5620" w:rsidRPr="00553087" w:rsidRDefault="00EB5620">
            <w:pPr>
              <w:pStyle w:val="Body"/>
              <w:rPr>
                <w:rFonts w:ascii="Arial" w:hAnsi="Arial" w:cs="Arial"/>
              </w:rPr>
            </w:pPr>
            <w:r>
              <w:rPr>
                <w:rFonts w:ascii="Arial" w:hAnsi="Arial" w:cs="Arial"/>
              </w:rPr>
              <w:t>3</w:t>
            </w:r>
            <w:r w:rsidRPr="00553087">
              <w:rPr>
                <w:rFonts w:ascii="Arial" w:hAnsi="Arial" w:cs="Arial"/>
              </w:rPr>
              <w:t>0 days</w:t>
            </w:r>
          </w:p>
        </w:tc>
        <w:tc>
          <w:tcPr>
            <w:tcW w:w="3185" w:type="dxa"/>
            <w:shd w:val="clear" w:color="auto" w:fill="FFF0A9"/>
          </w:tcPr>
          <w:p w14:paraId="17376F17" w14:textId="77777777" w:rsidR="00EB5620" w:rsidRPr="00553087" w:rsidRDefault="00EB5620">
            <w:pPr>
              <w:pStyle w:val="Body"/>
              <w:numPr>
                <w:ilvl w:val="0"/>
                <w:numId w:val="0"/>
              </w:numPr>
              <w:rPr>
                <w:rFonts w:ascii="Arial" w:hAnsi="Arial" w:cs="Arial"/>
              </w:rPr>
            </w:pPr>
            <w:r w:rsidRPr="00553087">
              <w:rPr>
                <w:rFonts w:ascii="Arial" w:hAnsi="Arial" w:cs="Arial"/>
              </w:rPr>
              <w:t>-</w:t>
            </w:r>
          </w:p>
        </w:tc>
      </w:tr>
      <w:tr w:rsidR="00EB5620" w:rsidRPr="00FA74F0" w14:paraId="0BFA2784" w14:textId="77777777">
        <w:tc>
          <w:tcPr>
            <w:tcW w:w="988" w:type="dxa"/>
            <w:tcBorders>
              <w:bottom w:val="single" w:sz="18" w:space="0" w:color="FFC000"/>
            </w:tcBorders>
            <w:shd w:val="clear" w:color="auto" w:fill="auto"/>
          </w:tcPr>
          <w:p w14:paraId="4FECDEEF" w14:textId="77777777" w:rsidR="00EB5620" w:rsidRPr="00FA74F0" w:rsidRDefault="00EB5620">
            <w:pPr>
              <w:pStyle w:val="Body"/>
              <w:jc w:val="center"/>
              <w:rPr>
                <w:rFonts w:ascii="Arial" w:hAnsi="Arial" w:cs="Arial"/>
              </w:rPr>
            </w:pPr>
            <w:r w:rsidRPr="00FA74F0">
              <w:rPr>
                <w:rFonts w:ascii="Arial" w:hAnsi="Arial" w:cs="Arial"/>
              </w:rPr>
              <w:t>4</w:t>
            </w:r>
          </w:p>
        </w:tc>
        <w:tc>
          <w:tcPr>
            <w:tcW w:w="1223" w:type="dxa"/>
            <w:tcBorders>
              <w:bottom w:val="single" w:sz="18" w:space="0" w:color="FFC000"/>
            </w:tcBorders>
            <w:shd w:val="clear" w:color="auto" w:fill="auto"/>
          </w:tcPr>
          <w:p w14:paraId="4D31686A" w14:textId="77777777" w:rsidR="00EB5620" w:rsidRPr="00FA74F0" w:rsidRDefault="00EB5620">
            <w:pPr>
              <w:pStyle w:val="Body"/>
              <w:rPr>
                <w:rFonts w:ascii="Arial" w:hAnsi="Arial" w:cs="Arial"/>
              </w:rPr>
            </w:pPr>
            <w:r w:rsidRPr="009C19B6">
              <w:rPr>
                <w:rFonts w:ascii="Arial" w:hAnsi="Arial" w:cs="Arial"/>
              </w:rPr>
              <w:t>yes</w:t>
            </w:r>
          </w:p>
        </w:tc>
        <w:tc>
          <w:tcPr>
            <w:tcW w:w="1223" w:type="dxa"/>
            <w:tcBorders>
              <w:bottom w:val="single" w:sz="18" w:space="0" w:color="FFC000"/>
            </w:tcBorders>
            <w:shd w:val="clear" w:color="auto" w:fill="auto"/>
          </w:tcPr>
          <w:p w14:paraId="7B7F926E" w14:textId="77777777" w:rsidR="00EB5620" w:rsidRPr="00FA74F0" w:rsidRDefault="00EB5620">
            <w:pPr>
              <w:pStyle w:val="Body"/>
              <w:rPr>
                <w:rFonts w:ascii="Arial" w:hAnsi="Arial" w:cs="Arial"/>
              </w:rPr>
            </w:pPr>
            <w:r w:rsidRPr="00FA74F0">
              <w:rPr>
                <w:rFonts w:ascii="Arial" w:hAnsi="Arial" w:cs="Arial"/>
              </w:rPr>
              <w:t>not used</w:t>
            </w:r>
          </w:p>
        </w:tc>
        <w:tc>
          <w:tcPr>
            <w:tcW w:w="1224" w:type="dxa"/>
            <w:tcBorders>
              <w:bottom w:val="single" w:sz="18" w:space="0" w:color="FFC000"/>
            </w:tcBorders>
            <w:shd w:val="clear" w:color="auto" w:fill="FFF0A9"/>
          </w:tcPr>
          <w:p w14:paraId="682183B0" w14:textId="77777777" w:rsidR="00EB5620" w:rsidRPr="00FA74F0" w:rsidRDefault="00EB5620">
            <w:pPr>
              <w:pStyle w:val="Body"/>
              <w:rPr>
                <w:rFonts w:ascii="Arial" w:hAnsi="Arial" w:cs="Arial"/>
              </w:rPr>
            </w:pPr>
            <w:r w:rsidRPr="00FA74F0">
              <w:rPr>
                <w:rFonts w:ascii="Arial" w:hAnsi="Arial" w:cs="Arial"/>
              </w:rPr>
              <w:t>-</w:t>
            </w:r>
          </w:p>
        </w:tc>
        <w:tc>
          <w:tcPr>
            <w:tcW w:w="1224" w:type="dxa"/>
            <w:tcBorders>
              <w:bottom w:val="single" w:sz="18" w:space="0" w:color="FFC000"/>
            </w:tcBorders>
            <w:shd w:val="clear" w:color="auto" w:fill="FFF0A9"/>
          </w:tcPr>
          <w:p w14:paraId="68C5EF58" w14:textId="77777777" w:rsidR="00EB5620" w:rsidRPr="00FA74F0" w:rsidRDefault="00EB5620">
            <w:pPr>
              <w:pStyle w:val="Body"/>
              <w:rPr>
                <w:rFonts w:ascii="Arial" w:hAnsi="Arial" w:cs="Arial"/>
              </w:rPr>
            </w:pPr>
            <w:r w:rsidRPr="00FA74F0">
              <w:rPr>
                <w:rFonts w:ascii="Arial" w:hAnsi="Arial" w:cs="Arial"/>
              </w:rPr>
              <w:t>-</w:t>
            </w:r>
          </w:p>
        </w:tc>
        <w:tc>
          <w:tcPr>
            <w:tcW w:w="3185" w:type="dxa"/>
            <w:tcBorders>
              <w:bottom w:val="single" w:sz="18" w:space="0" w:color="FFC000"/>
            </w:tcBorders>
            <w:shd w:val="clear" w:color="auto" w:fill="auto"/>
          </w:tcPr>
          <w:p w14:paraId="0C7BFF34" w14:textId="77777777" w:rsidR="00EB5620" w:rsidRPr="00FA74F0" w:rsidRDefault="00EB5620">
            <w:pPr>
              <w:pStyle w:val="Body"/>
              <w:rPr>
                <w:rFonts w:ascii="Arial" w:hAnsi="Arial" w:cs="Arial"/>
              </w:rPr>
            </w:pPr>
            <w:r w:rsidRPr="009C19B6">
              <w:rPr>
                <w:rFonts w:ascii="Arial" w:hAnsi="Arial" w:cs="Arial"/>
              </w:rPr>
              <w:t>no</w:t>
            </w:r>
          </w:p>
        </w:tc>
      </w:tr>
    </w:tbl>
    <w:p w14:paraId="16CA9A38" w14:textId="77777777" w:rsidR="00EB5620" w:rsidRPr="00FA74F0" w:rsidRDefault="00EB5620" w:rsidP="00EB5620">
      <w:pPr>
        <w:pStyle w:val="Heading3"/>
        <w:rPr>
          <w:rFonts w:ascii="Arial" w:hAnsi="Arial" w:cs="Arial"/>
          <w:sz w:val="20"/>
          <w:szCs w:val="20"/>
        </w:rPr>
      </w:pPr>
    </w:p>
    <w:p w14:paraId="758B10B6" w14:textId="77777777" w:rsidR="00EB5620" w:rsidRPr="00FB7B06" w:rsidRDefault="00EB5620" w:rsidP="00EB5620">
      <w:pPr>
        <w:pStyle w:val="Heading3"/>
        <w:spacing w:before="120" w:after="120" w:line="240" w:lineRule="auto"/>
        <w:ind w:left="0"/>
        <w:rPr>
          <w:rFonts w:ascii="Arial" w:hAnsi="Arial" w:cs="Arial"/>
          <w:sz w:val="20"/>
          <w:szCs w:val="20"/>
        </w:rPr>
      </w:pPr>
      <w:r w:rsidRPr="00FB7B06">
        <w:rPr>
          <w:rFonts w:ascii="Arial" w:hAnsi="Arial" w:cs="Arial"/>
          <w:sz w:val="20"/>
          <w:szCs w:val="20"/>
        </w:rPr>
        <w:t>Table 3: Appendix Information</w:t>
      </w:r>
    </w:p>
    <w:p w14:paraId="730D030F" w14:textId="77777777" w:rsidR="00EB5620" w:rsidRPr="00746F03" w:rsidRDefault="00EB5620" w:rsidP="00EB5620">
      <w:pPr>
        <w:spacing w:before="120" w:after="120"/>
        <w:rPr>
          <w:rFonts w:ascii="Arial" w:hAnsi="Arial" w:cs="Arial"/>
          <w:sz w:val="20"/>
          <w:szCs w:val="20"/>
          <w:lang w:val="en-US"/>
        </w:rPr>
      </w:pPr>
      <w:r w:rsidRPr="00746F03">
        <w:rPr>
          <w:rFonts w:ascii="Arial" w:hAnsi="Arial" w:cs="Arial"/>
          <w:sz w:val="20"/>
          <w:szCs w:val="20"/>
          <w:lang w:val="en-US"/>
        </w:rPr>
        <w:t>“</w:t>
      </w:r>
      <w:r w:rsidRPr="00746F03">
        <w:rPr>
          <w:rFonts w:ascii="Arial" w:hAnsi="Arial" w:cs="Arial"/>
          <w:b/>
          <w:bCs/>
          <w:sz w:val="20"/>
          <w:szCs w:val="20"/>
          <w:lang w:val="en-US"/>
        </w:rPr>
        <w:t>Appendix Information</w:t>
      </w:r>
      <w:r w:rsidRPr="00746F03">
        <w:rPr>
          <w:rFonts w:ascii="Arial" w:hAnsi="Arial" w:cs="Arial"/>
          <w:sz w:val="20"/>
          <w:szCs w:val="20"/>
          <w:lang w:val="en-US"/>
        </w:rPr>
        <w:t>” means the information which must be provided for the selected modules as set out in the Appendix of the Approved EU SCCs (other than the Parties), and which for this Addendum is set out in:</w:t>
      </w:r>
    </w:p>
    <w:tbl>
      <w:tblPr>
        <w:tblW w:w="0" w:type="auto"/>
        <w:tblBorders>
          <w:insideH w:val="single" w:sz="4" w:space="0" w:color="FFC000"/>
        </w:tblBorders>
        <w:tblLook w:val="04A0" w:firstRow="1" w:lastRow="0" w:firstColumn="1" w:lastColumn="0" w:noHBand="0" w:noVBand="1"/>
      </w:tblPr>
      <w:tblGrid>
        <w:gridCol w:w="9017"/>
      </w:tblGrid>
      <w:tr w:rsidR="00EB5620" w:rsidRPr="00746F03" w14:paraId="61190F2C" w14:textId="77777777">
        <w:tc>
          <w:tcPr>
            <w:tcW w:w="9017" w:type="dxa"/>
            <w:shd w:val="clear" w:color="auto" w:fill="auto"/>
          </w:tcPr>
          <w:p w14:paraId="553B5AD9" w14:textId="77777777" w:rsidR="00EB5620" w:rsidRPr="00746F03" w:rsidRDefault="00EB5620">
            <w:pPr>
              <w:pStyle w:val="Body"/>
              <w:spacing w:line="240" w:lineRule="auto"/>
              <w:rPr>
                <w:rFonts w:ascii="Arial" w:hAnsi="Arial" w:cs="Arial"/>
                <w:lang w:val="en-US"/>
              </w:rPr>
            </w:pPr>
            <w:r w:rsidRPr="00746F03">
              <w:rPr>
                <w:rFonts w:ascii="Arial" w:hAnsi="Arial" w:cs="Arial"/>
                <w:lang w:val="en-US"/>
              </w:rPr>
              <w:t>Annex 1A: List of Parties: As set out in Annex I of the Approved EU SCCs</w:t>
            </w:r>
          </w:p>
        </w:tc>
      </w:tr>
      <w:tr w:rsidR="00EB5620" w:rsidRPr="00746F03" w14:paraId="42A55A1C" w14:textId="77777777">
        <w:tc>
          <w:tcPr>
            <w:tcW w:w="9017" w:type="dxa"/>
            <w:shd w:val="clear" w:color="auto" w:fill="auto"/>
          </w:tcPr>
          <w:p w14:paraId="1967EABF" w14:textId="77777777" w:rsidR="00EB5620" w:rsidRPr="00746F03" w:rsidRDefault="00EB5620">
            <w:pPr>
              <w:pStyle w:val="Body"/>
              <w:spacing w:line="240" w:lineRule="auto"/>
              <w:rPr>
                <w:rFonts w:ascii="Arial" w:hAnsi="Arial" w:cs="Arial"/>
                <w:lang w:val="en-US"/>
              </w:rPr>
            </w:pPr>
            <w:r w:rsidRPr="00746F03">
              <w:rPr>
                <w:rFonts w:ascii="Arial" w:hAnsi="Arial" w:cs="Arial"/>
                <w:lang w:val="en-US"/>
              </w:rPr>
              <w:t>Annex 1B: Description of Transfer: As set out in Annex I of the Approved EU SCCs</w:t>
            </w:r>
          </w:p>
        </w:tc>
      </w:tr>
      <w:tr w:rsidR="00EB5620" w:rsidRPr="00746F03" w14:paraId="026F4BBE" w14:textId="77777777">
        <w:tc>
          <w:tcPr>
            <w:tcW w:w="9017" w:type="dxa"/>
            <w:shd w:val="clear" w:color="auto" w:fill="auto"/>
          </w:tcPr>
          <w:p w14:paraId="5C7EAAE7" w14:textId="77777777" w:rsidR="00EB5620" w:rsidRPr="00746F03" w:rsidRDefault="00EB5620">
            <w:pPr>
              <w:pStyle w:val="Body"/>
              <w:spacing w:line="240" w:lineRule="auto"/>
              <w:rPr>
                <w:rFonts w:ascii="Arial" w:hAnsi="Arial" w:cs="Arial"/>
                <w:lang w:val="en-US"/>
              </w:rPr>
            </w:pPr>
            <w:r w:rsidRPr="00746F03">
              <w:rPr>
                <w:rFonts w:ascii="Arial" w:hAnsi="Arial" w:cs="Arial"/>
                <w:lang w:val="en-US"/>
              </w:rPr>
              <w:t>Annex II: Technical and organisational measures including technical and organisational measures to ensure the security of the data: As set out in Annex II of the Approved EU SCCs</w:t>
            </w:r>
          </w:p>
        </w:tc>
      </w:tr>
    </w:tbl>
    <w:p w14:paraId="02B97A1D" w14:textId="77777777" w:rsidR="00EB5620" w:rsidRDefault="00EB5620" w:rsidP="00EB5620">
      <w:pPr>
        <w:pStyle w:val="Heading3"/>
        <w:spacing w:before="120" w:after="120" w:line="240" w:lineRule="auto"/>
        <w:rPr>
          <w:rFonts w:ascii="Arial" w:hAnsi="Arial" w:cs="Arial"/>
          <w:sz w:val="20"/>
          <w:szCs w:val="20"/>
        </w:rPr>
      </w:pPr>
    </w:p>
    <w:p w14:paraId="208E65F5" w14:textId="77777777" w:rsidR="00EB5620" w:rsidRPr="00FB7B06" w:rsidRDefault="00EB5620" w:rsidP="00EB5620">
      <w:pPr>
        <w:pStyle w:val="Heading3"/>
        <w:spacing w:before="120" w:after="120" w:line="240" w:lineRule="auto"/>
        <w:ind w:left="0"/>
        <w:rPr>
          <w:rFonts w:ascii="Arial" w:hAnsi="Arial" w:cs="Arial"/>
          <w:sz w:val="20"/>
          <w:szCs w:val="20"/>
        </w:rPr>
      </w:pPr>
      <w:r w:rsidRPr="00FB7B06">
        <w:rPr>
          <w:rFonts w:ascii="Arial" w:hAnsi="Arial" w:cs="Arial"/>
          <w:sz w:val="20"/>
          <w:szCs w:val="20"/>
        </w:rPr>
        <w:t>Table 4: Ending this Addendum when the Approved Addendum Changes</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1768"/>
        <w:gridCol w:w="7467"/>
      </w:tblGrid>
      <w:tr w:rsidR="00EB5620" w:rsidRPr="00553087" w14:paraId="2520E6A0" w14:textId="77777777">
        <w:tc>
          <w:tcPr>
            <w:tcW w:w="957" w:type="pct"/>
            <w:tcBorders>
              <w:bottom w:val="single" w:sz="18" w:space="0" w:color="FFC000"/>
            </w:tcBorders>
            <w:shd w:val="clear" w:color="auto" w:fill="FFF9DD"/>
          </w:tcPr>
          <w:p w14:paraId="11EA340E" w14:textId="77777777" w:rsidR="00EB5620" w:rsidRPr="00746F03" w:rsidRDefault="00EB5620">
            <w:pPr>
              <w:pStyle w:val="Body"/>
              <w:spacing w:line="240" w:lineRule="auto"/>
              <w:rPr>
                <w:rFonts w:ascii="Arial" w:hAnsi="Arial" w:cs="Arial"/>
                <w:b/>
                <w:bCs/>
                <w:lang w:val="en-US"/>
              </w:rPr>
            </w:pPr>
            <w:r w:rsidRPr="00746F03">
              <w:rPr>
                <w:rFonts w:ascii="Arial" w:hAnsi="Arial" w:cs="Arial"/>
                <w:b/>
                <w:bCs/>
                <w:color w:val="003768"/>
                <w:lang w:val="en-US"/>
              </w:rPr>
              <w:t>Ending this Addendum when the Approved Addendum changes</w:t>
            </w:r>
          </w:p>
        </w:tc>
        <w:tc>
          <w:tcPr>
            <w:tcW w:w="4043" w:type="pct"/>
            <w:tcBorders>
              <w:bottom w:val="single" w:sz="18" w:space="0" w:color="FFC000"/>
            </w:tcBorders>
            <w:shd w:val="clear" w:color="auto" w:fill="auto"/>
          </w:tcPr>
          <w:p w14:paraId="60DBB6EE" w14:textId="77777777" w:rsidR="00EB5620" w:rsidRPr="00746F03" w:rsidRDefault="00EB5620">
            <w:pPr>
              <w:pStyle w:val="Body"/>
              <w:spacing w:line="240" w:lineRule="auto"/>
              <w:rPr>
                <w:rFonts w:ascii="Arial" w:hAnsi="Arial" w:cs="Arial"/>
                <w:lang w:val="en-US"/>
              </w:rPr>
            </w:pPr>
            <w:r w:rsidRPr="00746F03">
              <w:rPr>
                <w:rFonts w:ascii="Arial" w:hAnsi="Arial" w:cs="Arial"/>
                <w:lang w:val="en-US"/>
              </w:rPr>
              <w:t xml:space="preserve">Which Parties may end this Addendum as set out in Section </w:t>
            </w:r>
            <w:r w:rsidRPr="00553087">
              <w:rPr>
                <w:rFonts w:ascii="Arial" w:hAnsi="Arial" w:cs="Arial"/>
              </w:rPr>
              <w:fldChar w:fldCharType="begin"/>
            </w:r>
            <w:r w:rsidRPr="00746F03">
              <w:rPr>
                <w:rFonts w:ascii="Arial" w:hAnsi="Arial" w:cs="Arial"/>
                <w:lang w:val="en-US"/>
              </w:rPr>
              <w:instrText xml:space="preserve"> REF _Ref93329888 \r \h  \* MERGEFORMAT </w:instrText>
            </w:r>
            <w:r w:rsidRPr="00553087">
              <w:rPr>
                <w:rFonts w:ascii="Arial" w:hAnsi="Arial" w:cs="Arial"/>
              </w:rPr>
            </w:r>
            <w:r w:rsidRPr="00553087">
              <w:rPr>
                <w:rFonts w:ascii="Arial" w:hAnsi="Arial" w:cs="Arial"/>
              </w:rPr>
              <w:fldChar w:fldCharType="separate"/>
            </w:r>
            <w:r w:rsidRPr="00553087">
              <w:rPr>
                <w:rFonts w:ascii="Arial" w:hAnsi="Arial" w:cs="Arial"/>
                <w:cs/>
              </w:rPr>
              <w:t>‎</w:t>
            </w:r>
            <w:r w:rsidRPr="00746F03">
              <w:rPr>
                <w:rFonts w:ascii="Arial" w:hAnsi="Arial" w:cs="Arial"/>
                <w:lang w:val="en-US"/>
              </w:rPr>
              <w:t>19</w:t>
            </w:r>
            <w:r w:rsidRPr="00553087">
              <w:rPr>
                <w:rFonts w:ascii="Arial" w:hAnsi="Arial" w:cs="Arial"/>
              </w:rPr>
              <w:fldChar w:fldCharType="end"/>
            </w:r>
            <w:r w:rsidRPr="00746F03">
              <w:rPr>
                <w:rFonts w:ascii="Arial" w:hAnsi="Arial" w:cs="Arial"/>
                <w:lang w:val="en-US"/>
              </w:rPr>
              <w:t>:</w:t>
            </w:r>
          </w:p>
          <w:p w14:paraId="6805AAFD" w14:textId="77777777" w:rsidR="00EB5620" w:rsidRPr="00553087" w:rsidRDefault="00EB5620">
            <w:pPr>
              <w:pStyle w:val="Body"/>
              <w:spacing w:line="240" w:lineRule="auto"/>
              <w:rPr>
                <w:rFonts w:ascii="Arial" w:hAnsi="Arial" w:cs="Arial"/>
              </w:rPr>
            </w:pPr>
            <w:r w:rsidRPr="00553087">
              <w:rPr>
                <w:rFonts w:ascii="Arial" w:hAnsi="Arial" w:cs="Arial"/>
              </w:rPr>
              <w:t>Importer</w:t>
            </w:r>
          </w:p>
          <w:p w14:paraId="3C7DA6A5" w14:textId="77777777" w:rsidR="00EB5620" w:rsidRPr="00553087" w:rsidRDefault="00EB5620">
            <w:pPr>
              <w:pStyle w:val="Body"/>
              <w:spacing w:line="240" w:lineRule="auto"/>
              <w:rPr>
                <w:rFonts w:ascii="Arial" w:hAnsi="Arial" w:cs="Arial"/>
              </w:rPr>
            </w:pPr>
            <w:r w:rsidRPr="00553087">
              <w:rPr>
                <w:rFonts w:ascii="Arial" w:hAnsi="Arial" w:cs="Arial"/>
              </w:rPr>
              <w:t>Exporter</w:t>
            </w:r>
          </w:p>
          <w:p w14:paraId="3B6ECFA6" w14:textId="77777777" w:rsidR="00EB5620" w:rsidRPr="00553087" w:rsidRDefault="00EB5620">
            <w:pPr>
              <w:pStyle w:val="Body"/>
              <w:numPr>
                <w:ilvl w:val="0"/>
                <w:numId w:val="0"/>
              </w:numPr>
              <w:spacing w:line="240" w:lineRule="auto"/>
              <w:rPr>
                <w:rFonts w:ascii="Arial" w:hAnsi="Arial" w:cs="Arial"/>
              </w:rPr>
            </w:pPr>
          </w:p>
        </w:tc>
      </w:tr>
    </w:tbl>
    <w:p w14:paraId="7A3C615D" w14:textId="77777777" w:rsidR="00EB5620" w:rsidRDefault="00EB5620" w:rsidP="00EB5620">
      <w:pPr>
        <w:pStyle w:val="Heading2"/>
        <w:spacing w:after="120"/>
        <w:rPr>
          <w:rFonts w:ascii="Arial" w:hAnsi="Arial" w:cs="Arial"/>
          <w:sz w:val="20"/>
          <w:szCs w:val="20"/>
        </w:rPr>
      </w:pPr>
    </w:p>
    <w:p w14:paraId="7970136F" w14:textId="77777777" w:rsidR="00EB5620" w:rsidRPr="00FB7B06" w:rsidRDefault="00EB5620" w:rsidP="00EB5620">
      <w:pPr>
        <w:pStyle w:val="Heading2"/>
        <w:spacing w:after="120"/>
        <w:rPr>
          <w:rFonts w:ascii="Arial" w:hAnsi="Arial" w:cs="Arial"/>
          <w:sz w:val="20"/>
          <w:szCs w:val="20"/>
        </w:rPr>
      </w:pPr>
      <w:r w:rsidRPr="00FB7B06">
        <w:rPr>
          <w:rFonts w:ascii="Arial" w:hAnsi="Arial" w:cs="Arial"/>
          <w:sz w:val="20"/>
          <w:szCs w:val="20"/>
        </w:rPr>
        <w:t>Part 2: Mandatory Clauses</w:t>
      </w:r>
    </w:p>
    <w:p w14:paraId="5BA683D5" w14:textId="77777777" w:rsidR="00EB5620" w:rsidRPr="00FB7B06" w:rsidRDefault="00EB5620" w:rsidP="00EB5620">
      <w:pPr>
        <w:pStyle w:val="Heading3"/>
        <w:spacing w:before="120" w:after="120" w:line="240" w:lineRule="auto"/>
        <w:ind w:left="0"/>
        <w:rPr>
          <w:rFonts w:ascii="Arial" w:hAnsi="Arial" w:cs="Arial"/>
          <w:sz w:val="20"/>
          <w:szCs w:val="20"/>
        </w:rPr>
      </w:pPr>
      <w:r w:rsidRPr="00FB7B06">
        <w:rPr>
          <w:rFonts w:ascii="Arial" w:hAnsi="Arial" w:cs="Arial"/>
          <w:sz w:val="20"/>
          <w:szCs w:val="20"/>
        </w:rPr>
        <w:t>Entering into this Addendum</w:t>
      </w:r>
    </w:p>
    <w:p w14:paraId="1E1C5B9F" w14:textId="77777777" w:rsidR="00EB5620" w:rsidRPr="00FB7B06" w:rsidRDefault="00EB5620" w:rsidP="00EB5620">
      <w:pPr>
        <w:pStyle w:val="NormalNumbered"/>
        <w:rPr>
          <w:rFonts w:ascii="Arial" w:hAnsi="Arial" w:cs="Arial"/>
          <w:sz w:val="20"/>
          <w:szCs w:val="20"/>
        </w:rPr>
      </w:pPr>
      <w:r w:rsidRPr="00FB7B06">
        <w:rPr>
          <w:rFonts w:ascii="Arial" w:hAnsi="Arial" w:cs="Arial"/>
          <w:sz w:val="20"/>
          <w:szCs w:val="20"/>
        </w:rPr>
        <w:t>Each Party agrees to be bound by the terms and conditions set out in this Addendum, in exchange for the other Party also agreeing to be bound by this Addendum.</w:t>
      </w:r>
    </w:p>
    <w:p w14:paraId="40F3A30D" w14:textId="77777777" w:rsidR="00EB5620" w:rsidRPr="00FB7B06" w:rsidRDefault="00EB5620" w:rsidP="00EB5620">
      <w:pPr>
        <w:pStyle w:val="NormalNumbered"/>
        <w:rPr>
          <w:rFonts w:ascii="Arial" w:hAnsi="Arial" w:cs="Arial"/>
          <w:sz w:val="20"/>
          <w:szCs w:val="20"/>
        </w:rPr>
      </w:pPr>
      <w:r w:rsidRPr="00FB7B06">
        <w:rPr>
          <w:rFonts w:ascii="Arial" w:hAnsi="Arial" w:cs="Arial"/>
          <w:sz w:val="20"/>
          <w:szCs w:val="20"/>
        </w:rPr>
        <w:t xml:space="preserve">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w:t>
      </w:r>
      <w:r w:rsidRPr="00FB7B06">
        <w:rPr>
          <w:rFonts w:ascii="Arial" w:hAnsi="Arial" w:cs="Arial"/>
          <w:sz w:val="20"/>
          <w:szCs w:val="20"/>
        </w:rPr>
        <w:lastRenderedPageBreak/>
        <w:t>set out in this Addendum. Entering into this Addendum will have the same effect as signing the Approved EU SCCs and any part of the Approved EU SCCs.</w:t>
      </w:r>
    </w:p>
    <w:p w14:paraId="5DC2FDB7" w14:textId="77777777" w:rsidR="00EB5620" w:rsidRPr="00FB7B06" w:rsidRDefault="00EB5620" w:rsidP="00EB5620">
      <w:pPr>
        <w:pStyle w:val="Heading3"/>
        <w:ind w:left="0"/>
        <w:rPr>
          <w:rFonts w:ascii="Arial" w:hAnsi="Arial" w:cs="Arial"/>
          <w:sz w:val="20"/>
          <w:szCs w:val="20"/>
        </w:rPr>
      </w:pPr>
      <w:r w:rsidRPr="00FB7B06">
        <w:rPr>
          <w:rFonts w:ascii="Arial" w:hAnsi="Arial" w:cs="Arial"/>
          <w:sz w:val="20"/>
          <w:szCs w:val="20"/>
        </w:rPr>
        <w:t xml:space="preserve">Interpretation of this Addendum </w:t>
      </w:r>
    </w:p>
    <w:p w14:paraId="1C8C4713" w14:textId="77777777" w:rsidR="00EB5620" w:rsidRPr="00FB7B06" w:rsidRDefault="00EB5620" w:rsidP="00EB5620">
      <w:pPr>
        <w:pStyle w:val="NormalNumbered"/>
        <w:rPr>
          <w:rFonts w:ascii="Arial" w:hAnsi="Arial" w:cs="Arial"/>
          <w:sz w:val="20"/>
          <w:szCs w:val="20"/>
        </w:rPr>
      </w:pPr>
      <w:r w:rsidRPr="00FB7B06">
        <w:rPr>
          <w:rFonts w:ascii="Arial" w:hAnsi="Arial" w:cs="Arial"/>
          <w:sz w:val="20"/>
          <w:szCs w:val="20"/>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626"/>
        <w:gridCol w:w="6666"/>
      </w:tblGrid>
      <w:tr w:rsidR="00EB5620" w:rsidRPr="00746F03" w14:paraId="57F7887A" w14:textId="77777777">
        <w:tc>
          <w:tcPr>
            <w:tcW w:w="1413" w:type="pct"/>
            <w:tcBorders>
              <w:top w:val="single" w:sz="4" w:space="0" w:color="FFC000"/>
              <w:right w:val="single" w:sz="4" w:space="0" w:color="FFC000"/>
            </w:tcBorders>
            <w:shd w:val="clear" w:color="auto" w:fill="FFF9DD"/>
          </w:tcPr>
          <w:p w14:paraId="4C8F6577" w14:textId="77777777" w:rsidR="00EB5620" w:rsidRPr="00FD6704" w:rsidRDefault="00EB5620">
            <w:pPr>
              <w:pStyle w:val="Body"/>
              <w:rPr>
                <w:rFonts w:ascii="Arial" w:hAnsi="Arial" w:cs="Arial"/>
                <w:color w:val="003768"/>
              </w:rPr>
            </w:pPr>
            <w:r w:rsidRPr="00FD6704">
              <w:rPr>
                <w:rFonts w:ascii="Arial" w:hAnsi="Arial" w:cs="Arial"/>
                <w:color w:val="003768"/>
              </w:rPr>
              <w:t xml:space="preserve">Addendum </w:t>
            </w:r>
          </w:p>
        </w:tc>
        <w:tc>
          <w:tcPr>
            <w:tcW w:w="3587" w:type="pct"/>
            <w:tcBorders>
              <w:top w:val="single" w:sz="4" w:space="0" w:color="FFC000"/>
              <w:left w:val="single" w:sz="4" w:space="0" w:color="FFC000"/>
            </w:tcBorders>
          </w:tcPr>
          <w:p w14:paraId="34345D99" w14:textId="77777777" w:rsidR="00EB5620" w:rsidRPr="00746F03" w:rsidRDefault="00EB5620">
            <w:pPr>
              <w:pStyle w:val="Body"/>
              <w:rPr>
                <w:rFonts w:ascii="Arial" w:hAnsi="Arial" w:cs="Arial"/>
                <w:lang w:val="en-US"/>
              </w:rPr>
            </w:pPr>
            <w:r w:rsidRPr="00746F03">
              <w:rPr>
                <w:rFonts w:ascii="Arial" w:hAnsi="Arial" w:cs="Arial"/>
                <w:lang w:val="en-US"/>
              </w:rPr>
              <w:t>This International Data Transfer Addendum which is made up of this Addendum incorporating the Addendum EU SCCs.</w:t>
            </w:r>
          </w:p>
        </w:tc>
      </w:tr>
      <w:tr w:rsidR="00EB5620" w:rsidRPr="00746F03" w14:paraId="32423838" w14:textId="77777777">
        <w:tc>
          <w:tcPr>
            <w:tcW w:w="1413" w:type="pct"/>
            <w:tcBorders>
              <w:right w:val="single" w:sz="4" w:space="0" w:color="FFC000"/>
            </w:tcBorders>
            <w:shd w:val="clear" w:color="auto" w:fill="FFF9DD"/>
          </w:tcPr>
          <w:p w14:paraId="4E3B9E9D" w14:textId="77777777" w:rsidR="00EB5620" w:rsidRPr="00FD6704" w:rsidRDefault="00EB5620">
            <w:pPr>
              <w:pStyle w:val="Body"/>
              <w:rPr>
                <w:rFonts w:ascii="Arial" w:hAnsi="Arial" w:cs="Arial"/>
                <w:color w:val="003768"/>
              </w:rPr>
            </w:pPr>
            <w:r w:rsidRPr="00FD6704">
              <w:rPr>
                <w:rFonts w:ascii="Arial" w:hAnsi="Arial" w:cs="Arial"/>
                <w:color w:val="003768"/>
              </w:rPr>
              <w:t>Addendum EU SCCs</w:t>
            </w:r>
          </w:p>
        </w:tc>
        <w:tc>
          <w:tcPr>
            <w:tcW w:w="3587" w:type="pct"/>
            <w:tcBorders>
              <w:left w:val="single" w:sz="4" w:space="0" w:color="FFC000"/>
            </w:tcBorders>
          </w:tcPr>
          <w:p w14:paraId="6040D542" w14:textId="77777777" w:rsidR="00EB5620" w:rsidRPr="00746F03" w:rsidRDefault="00EB5620">
            <w:pPr>
              <w:pStyle w:val="Body"/>
              <w:rPr>
                <w:rFonts w:ascii="Arial" w:hAnsi="Arial" w:cs="Arial"/>
                <w:lang w:val="en-US"/>
              </w:rPr>
            </w:pPr>
            <w:r w:rsidRPr="00746F03">
              <w:rPr>
                <w:rFonts w:ascii="Arial" w:hAnsi="Arial" w:cs="Arial"/>
                <w:lang w:val="en-US"/>
              </w:rPr>
              <w:t>The version(s) of the Approved EU SCCs which this Addendum is appended to, as set out in Table 2, including the Appendix Information.</w:t>
            </w:r>
          </w:p>
        </w:tc>
      </w:tr>
      <w:tr w:rsidR="00EB5620" w:rsidRPr="00746F03" w14:paraId="09DC526C" w14:textId="77777777">
        <w:tc>
          <w:tcPr>
            <w:tcW w:w="1413" w:type="pct"/>
            <w:tcBorders>
              <w:right w:val="single" w:sz="4" w:space="0" w:color="FFC000"/>
            </w:tcBorders>
            <w:shd w:val="clear" w:color="auto" w:fill="FFF9DD"/>
          </w:tcPr>
          <w:p w14:paraId="31737DC2" w14:textId="77777777" w:rsidR="00EB5620" w:rsidRPr="00FD6704" w:rsidRDefault="00EB5620">
            <w:pPr>
              <w:pStyle w:val="Body"/>
              <w:rPr>
                <w:rFonts w:ascii="Arial" w:hAnsi="Arial" w:cs="Arial"/>
                <w:color w:val="003768"/>
              </w:rPr>
            </w:pPr>
            <w:r w:rsidRPr="00FD6704">
              <w:rPr>
                <w:rFonts w:ascii="Arial" w:hAnsi="Arial" w:cs="Arial"/>
                <w:color w:val="003768"/>
              </w:rPr>
              <w:t>Appendix Information</w:t>
            </w:r>
          </w:p>
        </w:tc>
        <w:tc>
          <w:tcPr>
            <w:tcW w:w="3587" w:type="pct"/>
            <w:tcBorders>
              <w:left w:val="single" w:sz="4" w:space="0" w:color="FFC000"/>
            </w:tcBorders>
          </w:tcPr>
          <w:p w14:paraId="36AC44E8" w14:textId="77777777" w:rsidR="00EB5620" w:rsidRPr="00746F03" w:rsidRDefault="00EB5620">
            <w:pPr>
              <w:pStyle w:val="Body"/>
              <w:rPr>
                <w:rFonts w:ascii="Arial" w:hAnsi="Arial" w:cs="Arial"/>
                <w:highlight w:val="green"/>
                <w:lang w:val="en-US"/>
              </w:rPr>
            </w:pPr>
            <w:r w:rsidRPr="00746F03">
              <w:rPr>
                <w:rFonts w:ascii="Arial" w:hAnsi="Arial" w:cs="Arial"/>
                <w:lang w:val="en-US"/>
              </w:rPr>
              <w:t>As set out in Table ‎3.</w:t>
            </w:r>
          </w:p>
        </w:tc>
      </w:tr>
      <w:tr w:rsidR="00EB5620" w:rsidRPr="00746F03" w14:paraId="58614F04" w14:textId="77777777">
        <w:tc>
          <w:tcPr>
            <w:tcW w:w="1413" w:type="pct"/>
            <w:tcBorders>
              <w:right w:val="single" w:sz="4" w:space="0" w:color="FFC000"/>
            </w:tcBorders>
            <w:shd w:val="clear" w:color="auto" w:fill="FFF9DD"/>
          </w:tcPr>
          <w:p w14:paraId="6452C06A" w14:textId="77777777" w:rsidR="00EB5620" w:rsidRPr="00FD6704" w:rsidRDefault="00EB5620">
            <w:pPr>
              <w:pStyle w:val="Body"/>
              <w:rPr>
                <w:rFonts w:ascii="Arial" w:hAnsi="Arial" w:cs="Arial"/>
                <w:color w:val="003768"/>
              </w:rPr>
            </w:pPr>
            <w:r w:rsidRPr="00FD6704">
              <w:rPr>
                <w:rFonts w:ascii="Arial" w:hAnsi="Arial" w:cs="Arial"/>
                <w:color w:val="003768"/>
              </w:rPr>
              <w:t>Appropriate Safeguards</w:t>
            </w:r>
          </w:p>
        </w:tc>
        <w:tc>
          <w:tcPr>
            <w:tcW w:w="3587" w:type="pct"/>
            <w:tcBorders>
              <w:left w:val="single" w:sz="4" w:space="0" w:color="FFC000"/>
            </w:tcBorders>
          </w:tcPr>
          <w:p w14:paraId="55AC91C6" w14:textId="77777777" w:rsidR="00EB5620" w:rsidRPr="00746F03" w:rsidRDefault="00EB5620">
            <w:pPr>
              <w:pStyle w:val="Body"/>
              <w:rPr>
                <w:rFonts w:ascii="Arial" w:hAnsi="Arial" w:cs="Arial"/>
                <w:lang w:val="en-US"/>
              </w:rPr>
            </w:pPr>
            <w:r w:rsidRPr="00746F03">
              <w:rPr>
                <w:rFonts w:ascii="Arial" w:hAnsi="Arial" w:cs="Arial"/>
                <w:lang w:val="en-US"/>
              </w:rPr>
              <w:t>The standard of protection over the personal data and of data subjects’ rights, which is required by UK Data Protection Laws when you are making a Restricted Transfer relying on standard data protection clauses under Article 46(2)(d) UK GDPR.</w:t>
            </w:r>
          </w:p>
        </w:tc>
      </w:tr>
      <w:tr w:rsidR="00EB5620" w:rsidRPr="00746F03" w14:paraId="6F7E3DE3" w14:textId="77777777">
        <w:tc>
          <w:tcPr>
            <w:tcW w:w="1413" w:type="pct"/>
            <w:tcBorders>
              <w:right w:val="single" w:sz="4" w:space="0" w:color="FFC000"/>
            </w:tcBorders>
            <w:shd w:val="clear" w:color="auto" w:fill="FFF9DD"/>
          </w:tcPr>
          <w:p w14:paraId="2821307C" w14:textId="77777777" w:rsidR="00EB5620" w:rsidRPr="00FD6704" w:rsidRDefault="00EB5620">
            <w:pPr>
              <w:pStyle w:val="Body"/>
              <w:rPr>
                <w:rFonts w:ascii="Arial" w:hAnsi="Arial" w:cs="Arial"/>
                <w:color w:val="003768"/>
              </w:rPr>
            </w:pPr>
            <w:r w:rsidRPr="00FD6704">
              <w:rPr>
                <w:rFonts w:ascii="Arial" w:hAnsi="Arial" w:cs="Arial"/>
                <w:color w:val="003768"/>
              </w:rPr>
              <w:t>Approved Addendum</w:t>
            </w:r>
          </w:p>
        </w:tc>
        <w:tc>
          <w:tcPr>
            <w:tcW w:w="3587" w:type="pct"/>
            <w:tcBorders>
              <w:left w:val="single" w:sz="4" w:space="0" w:color="FFC000"/>
            </w:tcBorders>
            <w:vAlign w:val="center"/>
          </w:tcPr>
          <w:p w14:paraId="1C4DCB55" w14:textId="77777777" w:rsidR="00EB5620" w:rsidRPr="00746F03" w:rsidRDefault="00EB5620">
            <w:pPr>
              <w:pStyle w:val="Body"/>
              <w:rPr>
                <w:rFonts w:ascii="Arial" w:hAnsi="Arial" w:cs="Arial"/>
                <w:lang w:val="en-US"/>
              </w:rPr>
            </w:pPr>
            <w:r w:rsidRPr="00746F03">
              <w:rPr>
                <w:rFonts w:ascii="Arial" w:hAnsi="Arial" w:cs="Arial"/>
                <w:lang w:val="en-US"/>
              </w:rPr>
              <w:t xml:space="preserve">The template Addendum issued by the ICO and laid before Parliament in accordance with s119A of the Data Protection Act 2018 on 2 February 2022, as it is revised under Section </w:t>
            </w:r>
            <w:r w:rsidRPr="00FD6704">
              <w:rPr>
                <w:rFonts w:ascii="Arial" w:hAnsi="Arial" w:cs="Arial"/>
              </w:rPr>
              <w:fldChar w:fldCharType="begin"/>
            </w:r>
            <w:r w:rsidRPr="00746F03">
              <w:rPr>
                <w:rFonts w:ascii="Arial" w:hAnsi="Arial" w:cs="Arial"/>
                <w:lang w:val="en-US"/>
              </w:rPr>
              <w:instrText xml:space="preserve"> REF _Ref90907400 \r \h  \* MERGEFORMAT </w:instrText>
            </w:r>
            <w:r w:rsidRPr="00FD6704">
              <w:rPr>
                <w:rFonts w:ascii="Arial" w:hAnsi="Arial" w:cs="Arial"/>
              </w:rPr>
            </w:r>
            <w:r w:rsidRPr="00FD6704">
              <w:rPr>
                <w:rFonts w:ascii="Arial" w:hAnsi="Arial" w:cs="Arial"/>
              </w:rPr>
              <w:fldChar w:fldCharType="separate"/>
            </w:r>
            <w:r w:rsidRPr="00FD6704">
              <w:rPr>
                <w:rFonts w:ascii="Arial" w:hAnsi="Arial" w:cs="Arial"/>
                <w:cs/>
              </w:rPr>
              <w:t>‎</w:t>
            </w:r>
            <w:r w:rsidRPr="00746F03">
              <w:rPr>
                <w:rFonts w:ascii="Arial" w:hAnsi="Arial" w:cs="Arial"/>
                <w:lang w:val="en-US"/>
              </w:rPr>
              <w:t>18</w:t>
            </w:r>
            <w:r w:rsidRPr="00FD6704">
              <w:rPr>
                <w:rFonts w:ascii="Arial" w:hAnsi="Arial" w:cs="Arial"/>
              </w:rPr>
              <w:fldChar w:fldCharType="end"/>
            </w:r>
            <w:r w:rsidRPr="00746F03">
              <w:rPr>
                <w:rFonts w:ascii="Arial" w:hAnsi="Arial" w:cs="Arial"/>
                <w:lang w:val="en-US"/>
              </w:rPr>
              <w:t>.</w:t>
            </w:r>
          </w:p>
        </w:tc>
      </w:tr>
      <w:tr w:rsidR="00EB5620" w:rsidRPr="00746F03" w14:paraId="647907B6" w14:textId="77777777">
        <w:tc>
          <w:tcPr>
            <w:tcW w:w="1413" w:type="pct"/>
            <w:tcBorders>
              <w:right w:val="single" w:sz="4" w:space="0" w:color="FFC000"/>
            </w:tcBorders>
            <w:shd w:val="clear" w:color="auto" w:fill="FFF9DD"/>
          </w:tcPr>
          <w:p w14:paraId="59192EA4" w14:textId="77777777" w:rsidR="00EB5620" w:rsidRPr="00FD6704" w:rsidRDefault="00EB5620">
            <w:pPr>
              <w:pStyle w:val="Body"/>
              <w:rPr>
                <w:rFonts w:ascii="Arial" w:hAnsi="Arial" w:cs="Arial"/>
                <w:color w:val="003768"/>
              </w:rPr>
            </w:pPr>
            <w:r w:rsidRPr="00FD6704">
              <w:rPr>
                <w:rFonts w:ascii="Arial" w:hAnsi="Arial" w:cs="Arial"/>
                <w:color w:val="003768"/>
              </w:rPr>
              <w:t xml:space="preserve">Approved EU SCCs </w:t>
            </w:r>
          </w:p>
        </w:tc>
        <w:tc>
          <w:tcPr>
            <w:tcW w:w="3587" w:type="pct"/>
            <w:tcBorders>
              <w:left w:val="single" w:sz="4" w:space="0" w:color="FFC000"/>
            </w:tcBorders>
          </w:tcPr>
          <w:p w14:paraId="361F291D" w14:textId="77777777" w:rsidR="00EB5620" w:rsidRPr="00746F03" w:rsidRDefault="00EB5620">
            <w:pPr>
              <w:pStyle w:val="Body"/>
              <w:rPr>
                <w:rFonts w:ascii="Arial" w:hAnsi="Arial" w:cs="Arial"/>
                <w:lang w:val="en-US"/>
              </w:rPr>
            </w:pPr>
            <w:r w:rsidRPr="00746F03">
              <w:rPr>
                <w:rFonts w:ascii="Arial" w:hAnsi="Arial" w:cs="Arial"/>
                <w:lang w:val="en-US"/>
              </w:rPr>
              <w:t>The Standard Contractual Clauses set out in the Annex of Commission Implementing Decision (EU) 2021/914 of 4 June 2021.</w:t>
            </w:r>
          </w:p>
        </w:tc>
      </w:tr>
      <w:tr w:rsidR="00EB5620" w:rsidRPr="00FD6704" w14:paraId="79A03618" w14:textId="77777777">
        <w:tc>
          <w:tcPr>
            <w:tcW w:w="1413" w:type="pct"/>
            <w:tcBorders>
              <w:right w:val="single" w:sz="4" w:space="0" w:color="FFC000"/>
            </w:tcBorders>
            <w:shd w:val="clear" w:color="auto" w:fill="FFF9DD"/>
          </w:tcPr>
          <w:p w14:paraId="1229CA94" w14:textId="77777777" w:rsidR="00EB5620" w:rsidRPr="00FD6704" w:rsidRDefault="00EB5620">
            <w:pPr>
              <w:pStyle w:val="Body"/>
              <w:rPr>
                <w:rFonts w:ascii="Arial" w:hAnsi="Arial" w:cs="Arial"/>
                <w:color w:val="003768"/>
              </w:rPr>
            </w:pPr>
            <w:r w:rsidRPr="00FD6704">
              <w:rPr>
                <w:rFonts w:ascii="Arial" w:hAnsi="Arial" w:cs="Arial"/>
                <w:color w:val="003768"/>
              </w:rPr>
              <w:t>ICO</w:t>
            </w:r>
          </w:p>
        </w:tc>
        <w:tc>
          <w:tcPr>
            <w:tcW w:w="3587" w:type="pct"/>
            <w:tcBorders>
              <w:left w:val="single" w:sz="4" w:space="0" w:color="FFC000"/>
            </w:tcBorders>
          </w:tcPr>
          <w:p w14:paraId="684D5419" w14:textId="77777777" w:rsidR="00EB5620" w:rsidRPr="00FD6704" w:rsidRDefault="00EB5620">
            <w:pPr>
              <w:pStyle w:val="Body"/>
              <w:rPr>
                <w:rFonts w:ascii="Arial" w:hAnsi="Arial" w:cs="Arial"/>
              </w:rPr>
            </w:pPr>
            <w:r w:rsidRPr="00FD6704">
              <w:rPr>
                <w:rFonts w:ascii="Arial" w:hAnsi="Arial" w:cs="Arial"/>
              </w:rPr>
              <w:t>The Information Commissioner.</w:t>
            </w:r>
          </w:p>
        </w:tc>
      </w:tr>
      <w:tr w:rsidR="00EB5620" w:rsidRPr="00746F03" w14:paraId="07993016" w14:textId="77777777">
        <w:tc>
          <w:tcPr>
            <w:tcW w:w="1413" w:type="pct"/>
            <w:tcBorders>
              <w:right w:val="single" w:sz="4" w:space="0" w:color="FFC000"/>
            </w:tcBorders>
            <w:shd w:val="clear" w:color="auto" w:fill="FFF9DD"/>
          </w:tcPr>
          <w:p w14:paraId="12482FF5" w14:textId="77777777" w:rsidR="00EB5620" w:rsidRPr="00FD6704" w:rsidRDefault="00EB5620">
            <w:pPr>
              <w:pStyle w:val="Body"/>
              <w:rPr>
                <w:rFonts w:ascii="Arial" w:hAnsi="Arial" w:cs="Arial"/>
                <w:color w:val="003768"/>
              </w:rPr>
            </w:pPr>
            <w:r w:rsidRPr="00FD6704">
              <w:rPr>
                <w:rFonts w:ascii="Arial" w:hAnsi="Arial" w:cs="Arial"/>
                <w:color w:val="003768"/>
              </w:rPr>
              <w:t>Restricted Transfer</w:t>
            </w:r>
          </w:p>
        </w:tc>
        <w:tc>
          <w:tcPr>
            <w:tcW w:w="3587" w:type="pct"/>
            <w:tcBorders>
              <w:left w:val="single" w:sz="4" w:space="0" w:color="FFC000"/>
            </w:tcBorders>
          </w:tcPr>
          <w:p w14:paraId="76647995" w14:textId="77777777" w:rsidR="00EB5620" w:rsidRPr="00746F03" w:rsidRDefault="00EB5620">
            <w:pPr>
              <w:pStyle w:val="Body"/>
              <w:rPr>
                <w:rFonts w:ascii="Arial" w:hAnsi="Arial" w:cs="Arial"/>
                <w:lang w:val="en-US"/>
              </w:rPr>
            </w:pPr>
            <w:r w:rsidRPr="00746F03">
              <w:rPr>
                <w:rFonts w:ascii="Arial" w:hAnsi="Arial" w:cs="Arial"/>
                <w:lang w:val="en-US"/>
              </w:rPr>
              <w:t>A transfer which is covered by Chapter V of the UK GDPR.</w:t>
            </w:r>
          </w:p>
        </w:tc>
      </w:tr>
      <w:tr w:rsidR="00EB5620" w:rsidRPr="00746F03" w14:paraId="2F9C51B6" w14:textId="77777777">
        <w:tc>
          <w:tcPr>
            <w:tcW w:w="1413" w:type="pct"/>
            <w:tcBorders>
              <w:right w:val="single" w:sz="4" w:space="0" w:color="FFC000"/>
            </w:tcBorders>
            <w:shd w:val="clear" w:color="auto" w:fill="FFF9DD"/>
          </w:tcPr>
          <w:p w14:paraId="1AD65F49" w14:textId="77777777" w:rsidR="00EB5620" w:rsidRPr="00FD6704" w:rsidRDefault="00EB5620">
            <w:pPr>
              <w:pStyle w:val="Body"/>
              <w:rPr>
                <w:rFonts w:ascii="Arial" w:hAnsi="Arial" w:cs="Arial"/>
                <w:color w:val="003768"/>
              </w:rPr>
            </w:pPr>
            <w:r w:rsidRPr="00FD6704">
              <w:rPr>
                <w:rFonts w:ascii="Arial" w:hAnsi="Arial" w:cs="Arial"/>
                <w:color w:val="003768"/>
              </w:rPr>
              <w:t xml:space="preserve">UK </w:t>
            </w:r>
          </w:p>
        </w:tc>
        <w:tc>
          <w:tcPr>
            <w:tcW w:w="3587" w:type="pct"/>
            <w:tcBorders>
              <w:left w:val="single" w:sz="4" w:space="0" w:color="FFC000"/>
            </w:tcBorders>
          </w:tcPr>
          <w:p w14:paraId="2D123C34" w14:textId="77777777" w:rsidR="00EB5620" w:rsidRPr="00746F03" w:rsidRDefault="00EB5620">
            <w:pPr>
              <w:pStyle w:val="Body"/>
              <w:rPr>
                <w:rFonts w:ascii="Arial" w:hAnsi="Arial" w:cs="Arial"/>
                <w:lang w:val="en-US"/>
              </w:rPr>
            </w:pPr>
            <w:r w:rsidRPr="00746F03">
              <w:rPr>
                <w:rFonts w:ascii="Arial" w:hAnsi="Arial" w:cs="Arial"/>
                <w:lang w:val="en-US"/>
              </w:rPr>
              <w:t>The United Kingdom of Great Britain and Northern Ireland.</w:t>
            </w:r>
          </w:p>
        </w:tc>
      </w:tr>
      <w:tr w:rsidR="00EB5620" w:rsidRPr="00746F03" w14:paraId="5504D34E" w14:textId="77777777">
        <w:tc>
          <w:tcPr>
            <w:tcW w:w="1413" w:type="pct"/>
            <w:tcBorders>
              <w:right w:val="single" w:sz="4" w:space="0" w:color="FFC000"/>
            </w:tcBorders>
            <w:shd w:val="clear" w:color="auto" w:fill="FFF9DD"/>
          </w:tcPr>
          <w:p w14:paraId="1AF77D26" w14:textId="77777777" w:rsidR="00EB5620" w:rsidRPr="00FD6704" w:rsidRDefault="00EB5620">
            <w:pPr>
              <w:pStyle w:val="Body"/>
              <w:rPr>
                <w:rFonts w:ascii="Arial" w:hAnsi="Arial" w:cs="Arial"/>
                <w:color w:val="003768"/>
              </w:rPr>
            </w:pPr>
            <w:r w:rsidRPr="00FD6704">
              <w:rPr>
                <w:rFonts w:ascii="Arial" w:hAnsi="Arial" w:cs="Arial"/>
                <w:color w:val="003768"/>
              </w:rPr>
              <w:t xml:space="preserve">UK Data Protection Laws </w:t>
            </w:r>
          </w:p>
        </w:tc>
        <w:tc>
          <w:tcPr>
            <w:tcW w:w="3587" w:type="pct"/>
            <w:tcBorders>
              <w:left w:val="single" w:sz="4" w:space="0" w:color="FFC000"/>
            </w:tcBorders>
          </w:tcPr>
          <w:p w14:paraId="2388DFF7" w14:textId="77777777" w:rsidR="00EB5620" w:rsidRPr="00746F03" w:rsidRDefault="00EB5620">
            <w:pPr>
              <w:pStyle w:val="Body"/>
              <w:rPr>
                <w:rFonts w:ascii="Arial" w:hAnsi="Arial" w:cs="Arial"/>
                <w:lang w:val="en-US"/>
              </w:rPr>
            </w:pPr>
            <w:r w:rsidRPr="00746F03">
              <w:rPr>
                <w:rFonts w:ascii="Arial" w:hAnsi="Arial" w:cs="Arial"/>
                <w:lang w:val="en-US"/>
              </w:rPr>
              <w:t>All laws relating to data protection, the processing of personal data, privacy and/or electronic communications in force from time to time in the UK, including the UK GDPR and the Data Protection Act 2018.</w:t>
            </w:r>
          </w:p>
        </w:tc>
      </w:tr>
      <w:tr w:rsidR="00EB5620" w:rsidRPr="00746F03" w14:paraId="774A3A8F" w14:textId="77777777">
        <w:tc>
          <w:tcPr>
            <w:tcW w:w="1413" w:type="pct"/>
            <w:tcBorders>
              <w:bottom w:val="single" w:sz="18" w:space="0" w:color="FFC000"/>
              <w:right w:val="single" w:sz="4" w:space="0" w:color="FFC000"/>
            </w:tcBorders>
            <w:shd w:val="clear" w:color="auto" w:fill="FFF9DD"/>
          </w:tcPr>
          <w:p w14:paraId="352B499A" w14:textId="77777777" w:rsidR="00EB5620" w:rsidRPr="00FD6704" w:rsidRDefault="00EB5620">
            <w:pPr>
              <w:pStyle w:val="Body"/>
              <w:rPr>
                <w:rFonts w:ascii="Arial" w:hAnsi="Arial" w:cs="Arial"/>
                <w:color w:val="003768"/>
              </w:rPr>
            </w:pPr>
            <w:r w:rsidRPr="00FD6704">
              <w:rPr>
                <w:rFonts w:ascii="Arial" w:hAnsi="Arial" w:cs="Arial"/>
                <w:color w:val="003768"/>
              </w:rPr>
              <w:t xml:space="preserve">UK GDPR </w:t>
            </w:r>
          </w:p>
        </w:tc>
        <w:tc>
          <w:tcPr>
            <w:tcW w:w="3587" w:type="pct"/>
            <w:tcBorders>
              <w:left w:val="single" w:sz="4" w:space="0" w:color="FFC000"/>
              <w:bottom w:val="single" w:sz="18" w:space="0" w:color="FFC000"/>
            </w:tcBorders>
          </w:tcPr>
          <w:p w14:paraId="58B372DC" w14:textId="77777777" w:rsidR="00EB5620" w:rsidRPr="00746F03" w:rsidRDefault="00EB5620">
            <w:pPr>
              <w:pStyle w:val="Body"/>
              <w:rPr>
                <w:rFonts w:ascii="Arial" w:hAnsi="Arial" w:cs="Arial"/>
                <w:lang w:val="en-US"/>
              </w:rPr>
            </w:pPr>
            <w:r w:rsidRPr="00746F03">
              <w:rPr>
                <w:rFonts w:ascii="Arial" w:hAnsi="Arial" w:cs="Arial"/>
                <w:lang w:val="en-US"/>
              </w:rPr>
              <w:t>As defined in section 3 of the Data Protection Act 2018.</w:t>
            </w:r>
          </w:p>
        </w:tc>
      </w:tr>
    </w:tbl>
    <w:p w14:paraId="75B57B94" w14:textId="77777777" w:rsidR="00EB5620" w:rsidRPr="00746F03" w:rsidRDefault="00EB5620" w:rsidP="00EB5620">
      <w:pPr>
        <w:ind w:left="360"/>
        <w:rPr>
          <w:rFonts w:ascii="Arial" w:hAnsi="Arial" w:cs="Arial"/>
          <w:sz w:val="20"/>
          <w:szCs w:val="20"/>
          <w:lang w:val="en-US"/>
        </w:rPr>
      </w:pPr>
    </w:p>
    <w:p w14:paraId="4E52D1E1" w14:textId="77777777" w:rsidR="00EB5620" w:rsidRPr="006378CC" w:rsidRDefault="00EB5620" w:rsidP="00EB5620">
      <w:pPr>
        <w:pStyle w:val="NormalNumbered"/>
        <w:rPr>
          <w:rFonts w:ascii="Arial" w:hAnsi="Arial" w:cs="Arial"/>
          <w:sz w:val="20"/>
          <w:szCs w:val="20"/>
        </w:rPr>
      </w:pPr>
      <w:r w:rsidRPr="00FB7B06">
        <w:rPr>
          <w:rFonts w:ascii="Arial" w:hAnsi="Arial" w:cs="Arial"/>
          <w:sz w:val="20"/>
          <w:szCs w:val="20"/>
        </w:rPr>
        <w:t>This Addendum must always be interpreted in</w:t>
      </w:r>
      <w:r w:rsidRPr="006378CC">
        <w:rPr>
          <w:rFonts w:ascii="Arial" w:hAnsi="Arial" w:cs="Arial"/>
          <w:sz w:val="20"/>
          <w:szCs w:val="20"/>
        </w:rPr>
        <w:t xml:space="preserve"> a manner that is consistent with UK Data Protection Laws and so that it fulfils the Parties’ obligation to provide the Appropriate Safeguards. </w:t>
      </w:r>
    </w:p>
    <w:p w14:paraId="5A4A7AFB"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If the provisions included in the Addendum EU SCCs amend the Approved SCCs in any way which is not permitted under the Approved EU SCCs or the Approved Addendum, such </w:t>
      </w:r>
      <w:r w:rsidRPr="006378CC">
        <w:rPr>
          <w:rFonts w:ascii="Arial" w:hAnsi="Arial" w:cs="Arial"/>
          <w:sz w:val="20"/>
          <w:szCs w:val="20"/>
        </w:rPr>
        <w:lastRenderedPageBreak/>
        <w:t>amendment(s) will not be incorporated in this Addendum and the equivalent provision of the Approved EU SCCs will take their place.</w:t>
      </w:r>
    </w:p>
    <w:p w14:paraId="765CCBA4"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If there is any inconsistency or conflict between UK Data Protection Laws and this Addendum, UK Data Protection Laws applies.</w:t>
      </w:r>
    </w:p>
    <w:p w14:paraId="60FD5853"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If the meaning of this Addendum is unclear or there is more than one meaning, the meaning which most closely aligns with UK Data Protection Laws applies. </w:t>
      </w:r>
    </w:p>
    <w:p w14:paraId="72324AD5"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0E6DAFB0" w14:textId="77777777" w:rsidR="00EB5620" w:rsidRPr="006378CC" w:rsidRDefault="00EB5620" w:rsidP="00EB5620">
      <w:pPr>
        <w:pStyle w:val="Heading3"/>
        <w:ind w:left="0"/>
        <w:rPr>
          <w:rFonts w:ascii="Arial" w:hAnsi="Arial" w:cs="Arial"/>
          <w:sz w:val="20"/>
          <w:szCs w:val="20"/>
        </w:rPr>
      </w:pPr>
      <w:r w:rsidRPr="006378CC">
        <w:rPr>
          <w:rFonts w:ascii="Arial" w:hAnsi="Arial" w:cs="Arial"/>
          <w:sz w:val="20"/>
          <w:szCs w:val="20"/>
        </w:rPr>
        <w:t xml:space="preserve">Hierarchy </w:t>
      </w:r>
    </w:p>
    <w:p w14:paraId="20F9B267"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Although Clause 5 of the Approved EU SCCs sets out that the Approved EU SCCs prevail over all related agreements between the parties, the parties agree that, for Restricted Transfers, the hierarchy in Section </w:t>
      </w:r>
      <w:r w:rsidRPr="006378CC">
        <w:rPr>
          <w:rFonts w:ascii="Arial" w:hAnsi="Arial" w:cs="Arial"/>
          <w:sz w:val="20"/>
          <w:szCs w:val="20"/>
        </w:rPr>
        <w:fldChar w:fldCharType="begin"/>
      </w:r>
      <w:r w:rsidRPr="006378CC">
        <w:rPr>
          <w:rFonts w:ascii="Arial" w:hAnsi="Arial" w:cs="Arial"/>
          <w:sz w:val="20"/>
          <w:szCs w:val="20"/>
        </w:rPr>
        <w:instrText xml:space="preserve"> REF _Ref90905652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6378CC">
        <w:rPr>
          <w:rFonts w:ascii="Arial" w:hAnsi="Arial" w:cs="Arial"/>
          <w:sz w:val="20"/>
          <w:szCs w:val="20"/>
        </w:rPr>
        <w:t>10</w:t>
      </w:r>
      <w:r w:rsidRPr="006378CC">
        <w:rPr>
          <w:rFonts w:ascii="Arial" w:hAnsi="Arial" w:cs="Arial"/>
          <w:sz w:val="20"/>
          <w:szCs w:val="20"/>
        </w:rPr>
        <w:fldChar w:fldCharType="end"/>
      </w:r>
      <w:r w:rsidRPr="006378CC">
        <w:rPr>
          <w:rFonts w:ascii="Arial" w:hAnsi="Arial" w:cs="Arial"/>
          <w:sz w:val="20"/>
          <w:szCs w:val="20"/>
        </w:rPr>
        <w:t xml:space="preserve"> will prevail.</w:t>
      </w:r>
    </w:p>
    <w:p w14:paraId="263DED7D"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30CCA69C"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Where this Addendum incorporates Addendum EU SCCs which have been entered into to protect transfers subject to the General Data Protection Regulation (EU) 2016/679 then the Parties acknowledge that nothing in this Addendum impacts those Addendum EU SCCs.</w:t>
      </w:r>
    </w:p>
    <w:p w14:paraId="36206C1D" w14:textId="77777777" w:rsidR="00EB5620" w:rsidRPr="006378CC" w:rsidRDefault="00EB5620" w:rsidP="00EB5620">
      <w:pPr>
        <w:pStyle w:val="Heading3"/>
        <w:ind w:left="0"/>
        <w:rPr>
          <w:rFonts w:ascii="Arial" w:hAnsi="Arial" w:cs="Arial"/>
          <w:sz w:val="20"/>
          <w:szCs w:val="20"/>
        </w:rPr>
      </w:pPr>
      <w:r w:rsidRPr="006378CC">
        <w:rPr>
          <w:rFonts w:ascii="Arial" w:hAnsi="Arial" w:cs="Arial"/>
          <w:sz w:val="20"/>
          <w:szCs w:val="20"/>
        </w:rPr>
        <w:t>Incorporation of and changes to the EU SCCs</w:t>
      </w:r>
    </w:p>
    <w:p w14:paraId="14E06C47"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This Addendum incorporates the Addendum EU SCCs which are amended to the extent necessary so that:</w:t>
      </w:r>
    </w:p>
    <w:p w14:paraId="00A6AE2C" w14:textId="77777777" w:rsidR="00EB5620" w:rsidRPr="00746F03" w:rsidRDefault="00EB5620" w:rsidP="00EB5620">
      <w:pPr>
        <w:numPr>
          <w:ilvl w:val="1"/>
          <w:numId w:val="19"/>
        </w:numPr>
        <w:suppressAutoHyphens w:val="0"/>
        <w:spacing w:after="200" w:line="276" w:lineRule="auto"/>
        <w:ind w:left="851" w:hanging="425"/>
        <w:rPr>
          <w:rFonts w:ascii="Arial" w:hAnsi="Arial" w:cs="Arial"/>
          <w:sz w:val="20"/>
          <w:szCs w:val="20"/>
          <w:lang w:val="en-US"/>
        </w:rPr>
      </w:pPr>
      <w:r w:rsidRPr="00746F03">
        <w:rPr>
          <w:rFonts w:ascii="Arial" w:hAnsi="Arial" w:cs="Arial"/>
          <w:sz w:val="20"/>
          <w:szCs w:val="20"/>
          <w:lang w:val="en-US"/>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15748150" w14:textId="77777777" w:rsidR="00EB5620" w:rsidRPr="00746F03" w:rsidRDefault="00EB5620" w:rsidP="00EB5620">
      <w:pPr>
        <w:numPr>
          <w:ilvl w:val="1"/>
          <w:numId w:val="19"/>
        </w:numPr>
        <w:suppressAutoHyphens w:val="0"/>
        <w:spacing w:after="200" w:line="276" w:lineRule="auto"/>
        <w:ind w:left="851" w:hanging="425"/>
        <w:rPr>
          <w:rFonts w:ascii="Arial" w:hAnsi="Arial" w:cs="Arial"/>
          <w:sz w:val="20"/>
          <w:szCs w:val="20"/>
          <w:lang w:val="en-US"/>
        </w:rPr>
      </w:pPr>
      <w:r w:rsidRPr="00746F03">
        <w:rPr>
          <w:rFonts w:ascii="Arial" w:hAnsi="Arial" w:cs="Arial"/>
          <w:sz w:val="20"/>
          <w:szCs w:val="20"/>
          <w:lang w:val="en-US"/>
        </w:rPr>
        <w:t xml:space="preserve">Sections </w:t>
      </w:r>
      <w:r w:rsidRPr="006378CC">
        <w:rPr>
          <w:rFonts w:ascii="Arial" w:hAnsi="Arial" w:cs="Arial"/>
          <w:sz w:val="20"/>
          <w:szCs w:val="20"/>
        </w:rPr>
        <w:fldChar w:fldCharType="begin"/>
      </w:r>
      <w:r w:rsidRPr="00746F03">
        <w:rPr>
          <w:rFonts w:ascii="Arial" w:hAnsi="Arial" w:cs="Arial"/>
          <w:sz w:val="20"/>
          <w:szCs w:val="20"/>
          <w:lang w:val="en-US"/>
        </w:rPr>
        <w:instrText xml:space="preserve"> REF _Ref90905648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746F03">
        <w:rPr>
          <w:rFonts w:ascii="Arial" w:hAnsi="Arial" w:cs="Arial"/>
          <w:sz w:val="20"/>
          <w:szCs w:val="20"/>
          <w:lang w:val="en-US"/>
        </w:rPr>
        <w:t>9</w:t>
      </w:r>
      <w:r w:rsidRPr="006378CC">
        <w:rPr>
          <w:rFonts w:ascii="Arial" w:hAnsi="Arial" w:cs="Arial"/>
          <w:sz w:val="20"/>
          <w:szCs w:val="20"/>
        </w:rPr>
        <w:fldChar w:fldCharType="end"/>
      </w:r>
      <w:r w:rsidRPr="00746F03">
        <w:rPr>
          <w:rFonts w:ascii="Arial" w:hAnsi="Arial" w:cs="Arial"/>
          <w:sz w:val="20"/>
          <w:szCs w:val="20"/>
          <w:lang w:val="en-US"/>
        </w:rPr>
        <w:t xml:space="preserve"> to </w:t>
      </w:r>
      <w:r w:rsidRPr="006378CC">
        <w:rPr>
          <w:rFonts w:ascii="Arial" w:hAnsi="Arial" w:cs="Arial"/>
          <w:sz w:val="20"/>
          <w:szCs w:val="20"/>
        </w:rPr>
        <w:fldChar w:fldCharType="begin"/>
      </w:r>
      <w:r w:rsidRPr="00746F03">
        <w:rPr>
          <w:rFonts w:ascii="Arial" w:hAnsi="Arial" w:cs="Arial"/>
          <w:sz w:val="20"/>
          <w:szCs w:val="20"/>
          <w:lang w:val="en-US"/>
        </w:rPr>
        <w:instrText xml:space="preserve"> REF _Ref90906696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746F03">
        <w:rPr>
          <w:rFonts w:ascii="Arial" w:hAnsi="Arial" w:cs="Arial"/>
          <w:sz w:val="20"/>
          <w:szCs w:val="20"/>
          <w:lang w:val="en-US"/>
        </w:rPr>
        <w:t>11</w:t>
      </w:r>
      <w:r w:rsidRPr="006378CC">
        <w:rPr>
          <w:rFonts w:ascii="Arial" w:hAnsi="Arial" w:cs="Arial"/>
          <w:sz w:val="20"/>
          <w:szCs w:val="20"/>
        </w:rPr>
        <w:fldChar w:fldCharType="end"/>
      </w:r>
      <w:r w:rsidRPr="00746F03">
        <w:rPr>
          <w:rFonts w:ascii="Arial" w:hAnsi="Arial" w:cs="Arial"/>
          <w:sz w:val="20"/>
          <w:szCs w:val="20"/>
          <w:lang w:val="en-US"/>
        </w:rPr>
        <w:t xml:space="preserve"> override Clause 5 (Hierarchy) of the Addendum EU SCCs; and</w:t>
      </w:r>
    </w:p>
    <w:p w14:paraId="31919DCD" w14:textId="77777777" w:rsidR="00EB5620" w:rsidRPr="00746F03" w:rsidRDefault="00EB5620" w:rsidP="00EB5620">
      <w:pPr>
        <w:numPr>
          <w:ilvl w:val="1"/>
          <w:numId w:val="19"/>
        </w:numPr>
        <w:suppressAutoHyphens w:val="0"/>
        <w:spacing w:after="200" w:line="276" w:lineRule="auto"/>
        <w:ind w:left="851" w:hanging="425"/>
        <w:jc w:val="both"/>
        <w:rPr>
          <w:rFonts w:ascii="Arial" w:hAnsi="Arial" w:cs="Arial"/>
          <w:sz w:val="20"/>
          <w:szCs w:val="20"/>
          <w:lang w:val="en-US"/>
        </w:rPr>
      </w:pPr>
      <w:r w:rsidRPr="00746F03">
        <w:rPr>
          <w:rFonts w:ascii="Arial" w:hAnsi="Arial" w:cs="Arial"/>
          <w:sz w:val="20"/>
          <w:szCs w:val="20"/>
          <w:lang w:val="en-US"/>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3A5F883E"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Unless the Parties have agreed alternative amendments which meet the requirements of Section </w:t>
      </w:r>
      <w:r w:rsidRPr="006378CC">
        <w:rPr>
          <w:rFonts w:ascii="Arial" w:hAnsi="Arial" w:cs="Arial"/>
          <w:sz w:val="20"/>
          <w:szCs w:val="20"/>
        </w:rPr>
        <w:fldChar w:fldCharType="begin"/>
      </w:r>
      <w:r w:rsidRPr="006378CC">
        <w:rPr>
          <w:rFonts w:ascii="Arial" w:hAnsi="Arial" w:cs="Arial"/>
          <w:sz w:val="20"/>
          <w:szCs w:val="20"/>
        </w:rPr>
        <w:instrText xml:space="preserve"> REF _Ref90906729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6378CC">
        <w:rPr>
          <w:rFonts w:ascii="Arial" w:hAnsi="Arial" w:cs="Arial"/>
          <w:sz w:val="20"/>
          <w:szCs w:val="20"/>
        </w:rPr>
        <w:t>12</w:t>
      </w:r>
      <w:r w:rsidRPr="006378CC">
        <w:rPr>
          <w:rFonts w:ascii="Arial" w:hAnsi="Arial" w:cs="Arial"/>
          <w:sz w:val="20"/>
          <w:szCs w:val="20"/>
        </w:rPr>
        <w:fldChar w:fldCharType="end"/>
      </w:r>
      <w:r w:rsidRPr="006378CC">
        <w:rPr>
          <w:rFonts w:ascii="Arial" w:hAnsi="Arial" w:cs="Arial"/>
          <w:sz w:val="20"/>
          <w:szCs w:val="20"/>
        </w:rPr>
        <w:t xml:space="preserve">, the provisions of Section </w:t>
      </w:r>
      <w:r w:rsidRPr="006378CC">
        <w:rPr>
          <w:rFonts w:ascii="Arial" w:hAnsi="Arial" w:cs="Arial"/>
          <w:sz w:val="20"/>
          <w:szCs w:val="20"/>
        </w:rPr>
        <w:fldChar w:fldCharType="begin"/>
      </w:r>
      <w:r w:rsidRPr="006378CC">
        <w:rPr>
          <w:rFonts w:ascii="Arial" w:hAnsi="Arial" w:cs="Arial"/>
          <w:sz w:val="20"/>
          <w:szCs w:val="20"/>
        </w:rPr>
        <w:instrText xml:space="preserve"> REF _Ref90907321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6378CC">
        <w:rPr>
          <w:rFonts w:ascii="Arial" w:hAnsi="Arial" w:cs="Arial"/>
          <w:sz w:val="20"/>
          <w:szCs w:val="20"/>
        </w:rPr>
        <w:t>15</w:t>
      </w:r>
      <w:r w:rsidRPr="006378CC">
        <w:rPr>
          <w:rFonts w:ascii="Arial" w:hAnsi="Arial" w:cs="Arial"/>
          <w:sz w:val="20"/>
          <w:szCs w:val="20"/>
        </w:rPr>
        <w:fldChar w:fldCharType="end"/>
      </w:r>
      <w:r w:rsidRPr="006378CC">
        <w:rPr>
          <w:rFonts w:ascii="Arial" w:hAnsi="Arial" w:cs="Arial"/>
          <w:sz w:val="20"/>
          <w:szCs w:val="20"/>
        </w:rPr>
        <w:t xml:space="preserve"> will apply.</w:t>
      </w:r>
    </w:p>
    <w:p w14:paraId="7DFA8EA5"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No amendments to the Approved EU SCCs other than to meet the requirements of Section </w:t>
      </w:r>
      <w:r w:rsidRPr="006378CC">
        <w:rPr>
          <w:rFonts w:ascii="Arial" w:hAnsi="Arial" w:cs="Arial"/>
          <w:sz w:val="20"/>
          <w:szCs w:val="20"/>
        </w:rPr>
        <w:fldChar w:fldCharType="begin"/>
      </w:r>
      <w:r w:rsidRPr="006378CC">
        <w:rPr>
          <w:rFonts w:ascii="Arial" w:hAnsi="Arial" w:cs="Arial"/>
          <w:sz w:val="20"/>
          <w:szCs w:val="20"/>
        </w:rPr>
        <w:instrText xml:space="preserve"> REF _Ref90906729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6378CC">
        <w:rPr>
          <w:rFonts w:ascii="Arial" w:hAnsi="Arial" w:cs="Arial"/>
          <w:sz w:val="20"/>
          <w:szCs w:val="20"/>
        </w:rPr>
        <w:t>12</w:t>
      </w:r>
      <w:r w:rsidRPr="006378CC">
        <w:rPr>
          <w:rFonts w:ascii="Arial" w:hAnsi="Arial" w:cs="Arial"/>
          <w:sz w:val="20"/>
          <w:szCs w:val="20"/>
        </w:rPr>
        <w:fldChar w:fldCharType="end"/>
      </w:r>
      <w:r w:rsidRPr="006378CC">
        <w:rPr>
          <w:rFonts w:ascii="Arial" w:hAnsi="Arial" w:cs="Arial"/>
          <w:sz w:val="20"/>
          <w:szCs w:val="20"/>
        </w:rPr>
        <w:t xml:space="preserve"> may be made.</w:t>
      </w:r>
    </w:p>
    <w:p w14:paraId="103F497A"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The following amendments to the Addendum EU SCCs (for the purpose of Section </w:t>
      </w:r>
      <w:r w:rsidRPr="006378CC">
        <w:rPr>
          <w:rFonts w:ascii="Arial" w:hAnsi="Arial" w:cs="Arial"/>
          <w:sz w:val="20"/>
          <w:szCs w:val="20"/>
        </w:rPr>
        <w:fldChar w:fldCharType="begin"/>
      </w:r>
      <w:r w:rsidRPr="006378CC">
        <w:rPr>
          <w:rFonts w:ascii="Arial" w:hAnsi="Arial" w:cs="Arial"/>
          <w:sz w:val="20"/>
          <w:szCs w:val="20"/>
        </w:rPr>
        <w:instrText xml:space="preserve"> REF _Ref90906729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6378CC">
        <w:rPr>
          <w:rFonts w:ascii="Arial" w:hAnsi="Arial" w:cs="Arial"/>
          <w:sz w:val="20"/>
          <w:szCs w:val="20"/>
        </w:rPr>
        <w:t>12</w:t>
      </w:r>
      <w:r w:rsidRPr="006378CC">
        <w:rPr>
          <w:rFonts w:ascii="Arial" w:hAnsi="Arial" w:cs="Arial"/>
          <w:sz w:val="20"/>
          <w:szCs w:val="20"/>
        </w:rPr>
        <w:fldChar w:fldCharType="end"/>
      </w:r>
      <w:r w:rsidRPr="006378CC">
        <w:rPr>
          <w:rFonts w:ascii="Arial" w:hAnsi="Arial" w:cs="Arial"/>
          <w:sz w:val="20"/>
          <w:szCs w:val="20"/>
        </w:rPr>
        <w:t xml:space="preserve">) are made: </w:t>
      </w:r>
    </w:p>
    <w:p w14:paraId="66F298C5"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References to the “Clauses” means this Addendum, incorporating the Addendum EU SCCs;</w:t>
      </w:r>
    </w:p>
    <w:p w14:paraId="03DBBA67"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In Clause 2, delete the words:</w:t>
      </w:r>
    </w:p>
    <w:p w14:paraId="1F8AA60F" w14:textId="77777777" w:rsidR="00EB5620" w:rsidRPr="00746F03" w:rsidRDefault="00EB5620" w:rsidP="00EB5620">
      <w:pPr>
        <w:ind w:left="851"/>
        <w:rPr>
          <w:rFonts w:ascii="Arial" w:hAnsi="Arial" w:cs="Arial"/>
          <w:sz w:val="20"/>
          <w:szCs w:val="20"/>
          <w:lang w:val="en-US"/>
        </w:rPr>
      </w:pPr>
      <w:r w:rsidRPr="00746F03">
        <w:rPr>
          <w:rFonts w:ascii="Arial" w:hAnsi="Arial" w:cs="Arial"/>
          <w:sz w:val="20"/>
          <w:szCs w:val="20"/>
          <w:lang w:val="en-US"/>
        </w:rPr>
        <w:lastRenderedPageBreak/>
        <w:t>“and, with respect to data transfers from controllers to processors and/or processors to processors, standard contractual clauses pursuant to Article 28(7) of Regulation (EU) 2016/679”;</w:t>
      </w:r>
    </w:p>
    <w:p w14:paraId="25116079"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Clause 6 (Description of the transfer(s)) is replaced with:</w:t>
      </w:r>
    </w:p>
    <w:p w14:paraId="26AEBF53" w14:textId="77777777" w:rsidR="00EB5620" w:rsidRPr="00746F03" w:rsidRDefault="00EB5620" w:rsidP="00EB5620">
      <w:pPr>
        <w:ind w:left="851"/>
        <w:rPr>
          <w:rFonts w:ascii="Arial" w:hAnsi="Arial" w:cs="Arial"/>
          <w:sz w:val="20"/>
          <w:szCs w:val="20"/>
          <w:lang w:val="en-US"/>
        </w:rPr>
      </w:pPr>
      <w:r w:rsidRPr="00746F03">
        <w:rPr>
          <w:rFonts w:ascii="Arial" w:hAnsi="Arial" w:cs="Arial"/>
          <w:sz w:val="20"/>
          <w:szCs w:val="20"/>
          <w:lang w:val="en-US"/>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18EEA3EE"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Clause 8.7(i) of Module 1 is replaced with:</w:t>
      </w:r>
    </w:p>
    <w:p w14:paraId="16138D99" w14:textId="77777777" w:rsidR="00EB5620" w:rsidRPr="00746F03" w:rsidRDefault="00EB5620" w:rsidP="00EB5620">
      <w:pPr>
        <w:ind w:left="851"/>
        <w:rPr>
          <w:rFonts w:ascii="Arial" w:hAnsi="Arial" w:cs="Arial"/>
          <w:sz w:val="20"/>
          <w:szCs w:val="20"/>
          <w:lang w:val="en-US"/>
        </w:rPr>
      </w:pPr>
      <w:r w:rsidRPr="00746F03">
        <w:rPr>
          <w:rFonts w:ascii="Arial" w:hAnsi="Arial" w:cs="Arial"/>
          <w:sz w:val="20"/>
          <w:szCs w:val="20"/>
          <w:lang w:val="en-US"/>
        </w:rPr>
        <w:t>“it is to a country benefitting from adequacy regulations pursuant to Section 17A of the UK GDPR that covers the onward transfer”;</w:t>
      </w:r>
    </w:p>
    <w:p w14:paraId="072BD989"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Clause 8.8(i) of Modules 2 and 3 is replaced with:</w:t>
      </w:r>
    </w:p>
    <w:p w14:paraId="38452407" w14:textId="77777777" w:rsidR="00EB5620" w:rsidRPr="00746F03" w:rsidRDefault="00EB5620" w:rsidP="00EB5620">
      <w:pPr>
        <w:ind w:left="851"/>
        <w:rPr>
          <w:rFonts w:ascii="Arial" w:hAnsi="Arial" w:cs="Arial"/>
          <w:sz w:val="20"/>
          <w:szCs w:val="20"/>
          <w:lang w:val="en-US"/>
        </w:rPr>
      </w:pPr>
      <w:r w:rsidRPr="00746F03">
        <w:rPr>
          <w:rFonts w:ascii="Arial" w:hAnsi="Arial" w:cs="Arial"/>
          <w:sz w:val="20"/>
          <w:szCs w:val="20"/>
          <w:lang w:val="en-US"/>
        </w:rPr>
        <w:t>“the onward transfer is to a country benefitting from adequacy regulations pursuant to Section 17A of the UK GDPR that covers the onward transfer;”</w:t>
      </w:r>
    </w:p>
    <w:p w14:paraId="4F83F06A"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13AB047A"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References to Regulation (EU) 2018/1725 are removed;</w:t>
      </w:r>
    </w:p>
    <w:p w14:paraId="22D77A5D"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References to the “European Union”, “Union”, “EU”, “EU Member State”, “Member State” and “EU or Member State” are all replaced with the “UK”;</w:t>
      </w:r>
    </w:p>
    <w:p w14:paraId="3F7E048C"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The reference to “Clause 12(c)(i)” at Clause 10(b)(i) of Module one, is replaced with “Clause 11(c)(i)”;</w:t>
      </w:r>
    </w:p>
    <w:p w14:paraId="608142A1"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 xml:space="preserve">Clause 13(a) and Part C of Annex I are not used; </w:t>
      </w:r>
    </w:p>
    <w:p w14:paraId="59E5F72C"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The “competent supervisory authority” and “supervisory authority” are both replaced with the “Information Commissioner”;</w:t>
      </w:r>
    </w:p>
    <w:p w14:paraId="66484745" w14:textId="77777777" w:rsidR="00EB5620" w:rsidRPr="00746F03" w:rsidRDefault="00EB5620" w:rsidP="00EB5620">
      <w:pPr>
        <w:numPr>
          <w:ilvl w:val="0"/>
          <w:numId w:val="21"/>
        </w:numPr>
        <w:suppressAutoHyphens w:val="0"/>
        <w:spacing w:after="200" w:line="276" w:lineRule="auto"/>
        <w:ind w:hanging="360"/>
        <w:rPr>
          <w:rFonts w:ascii="Arial" w:hAnsi="Arial" w:cs="Arial"/>
          <w:sz w:val="20"/>
          <w:szCs w:val="20"/>
          <w:lang w:val="en-US"/>
        </w:rPr>
      </w:pPr>
      <w:r w:rsidRPr="00746F03">
        <w:rPr>
          <w:rFonts w:ascii="Arial" w:hAnsi="Arial" w:cs="Arial"/>
          <w:sz w:val="20"/>
          <w:szCs w:val="20"/>
          <w:lang w:val="en-US"/>
        </w:rPr>
        <w:t>In Clause 16(e), subsection (i) is replaced with:</w:t>
      </w:r>
    </w:p>
    <w:p w14:paraId="7DE31EAB" w14:textId="77777777" w:rsidR="00EB5620" w:rsidRPr="00746F03" w:rsidRDefault="00EB5620" w:rsidP="00EB5620">
      <w:pPr>
        <w:spacing w:line="274" w:lineRule="auto"/>
        <w:ind w:left="851"/>
        <w:rPr>
          <w:rFonts w:ascii="Arial" w:hAnsi="Arial" w:cs="Arial"/>
          <w:sz w:val="20"/>
          <w:szCs w:val="20"/>
          <w:lang w:val="en-US"/>
        </w:rPr>
      </w:pPr>
      <w:r w:rsidRPr="00746F03">
        <w:rPr>
          <w:rFonts w:ascii="Arial" w:hAnsi="Arial" w:cs="Arial"/>
          <w:sz w:val="20"/>
          <w:szCs w:val="20"/>
          <w:lang w:val="en-US"/>
        </w:rPr>
        <w:t>“the Secretary of State makes regulations pursuant to Section 17A of the Data Protection Act 2018 that cover the transfer of personal data to which these clauses apply;”;</w:t>
      </w:r>
    </w:p>
    <w:p w14:paraId="0D1C88F3" w14:textId="77777777" w:rsidR="00EB5620" w:rsidRPr="006378CC" w:rsidRDefault="00EB5620" w:rsidP="00EB5620">
      <w:pPr>
        <w:numPr>
          <w:ilvl w:val="0"/>
          <w:numId w:val="21"/>
        </w:numPr>
        <w:suppressAutoHyphens w:val="0"/>
        <w:spacing w:after="200" w:line="274" w:lineRule="auto"/>
        <w:ind w:hanging="360"/>
        <w:rPr>
          <w:rFonts w:ascii="Arial" w:hAnsi="Arial" w:cs="Arial"/>
          <w:sz w:val="20"/>
          <w:szCs w:val="20"/>
        </w:rPr>
      </w:pPr>
      <w:r w:rsidRPr="006378CC">
        <w:rPr>
          <w:rFonts w:ascii="Arial" w:hAnsi="Arial" w:cs="Arial"/>
          <w:sz w:val="20"/>
          <w:szCs w:val="20"/>
        </w:rPr>
        <w:t>Clause 17 is replaced with:</w:t>
      </w:r>
    </w:p>
    <w:p w14:paraId="1ABE8B73" w14:textId="77777777" w:rsidR="00EB5620" w:rsidRPr="00746F03" w:rsidRDefault="00EB5620" w:rsidP="00EB5620">
      <w:pPr>
        <w:spacing w:line="274" w:lineRule="auto"/>
        <w:ind w:left="851"/>
        <w:rPr>
          <w:rFonts w:ascii="Arial" w:hAnsi="Arial" w:cs="Arial"/>
          <w:sz w:val="20"/>
          <w:szCs w:val="20"/>
          <w:lang w:val="en-US"/>
        </w:rPr>
      </w:pPr>
      <w:r w:rsidRPr="00746F03">
        <w:rPr>
          <w:rFonts w:ascii="Arial" w:hAnsi="Arial" w:cs="Arial"/>
          <w:sz w:val="20"/>
          <w:szCs w:val="20"/>
          <w:lang w:val="en-US"/>
        </w:rPr>
        <w:t>“These Clauses are governed by the laws of England and Wales.”;</w:t>
      </w:r>
    </w:p>
    <w:p w14:paraId="1AF884F5" w14:textId="77777777" w:rsidR="00EB5620" w:rsidRPr="006378CC" w:rsidRDefault="00EB5620" w:rsidP="00EB5620">
      <w:pPr>
        <w:numPr>
          <w:ilvl w:val="0"/>
          <w:numId w:val="21"/>
        </w:numPr>
        <w:suppressAutoHyphens w:val="0"/>
        <w:spacing w:after="200" w:line="276" w:lineRule="auto"/>
        <w:ind w:hanging="360"/>
        <w:rPr>
          <w:rFonts w:ascii="Arial" w:hAnsi="Arial" w:cs="Arial"/>
          <w:sz w:val="20"/>
          <w:szCs w:val="20"/>
        </w:rPr>
      </w:pPr>
      <w:r w:rsidRPr="006378CC">
        <w:rPr>
          <w:rFonts w:ascii="Arial" w:hAnsi="Arial" w:cs="Arial"/>
          <w:sz w:val="20"/>
          <w:szCs w:val="20"/>
        </w:rPr>
        <w:t>Clause 18 is replaced with:</w:t>
      </w:r>
    </w:p>
    <w:p w14:paraId="4B117E19" w14:textId="77777777" w:rsidR="00EB5620" w:rsidRPr="009C19B6" w:rsidRDefault="00EB5620" w:rsidP="00EB5620">
      <w:pPr>
        <w:ind w:left="851"/>
        <w:rPr>
          <w:rFonts w:ascii="Arial" w:hAnsi="Arial" w:cs="Arial"/>
          <w:sz w:val="20"/>
          <w:szCs w:val="20"/>
          <w:lang w:val="en-US"/>
        </w:rPr>
      </w:pPr>
      <w:r w:rsidRPr="00746F03">
        <w:rPr>
          <w:rFonts w:ascii="Arial" w:hAnsi="Arial" w:cs="Arial"/>
          <w:sz w:val="20"/>
          <w:szCs w:val="20"/>
          <w:lang w:val="en-US"/>
        </w:rPr>
        <w:t xml:space="preserve">“Any dispute arising from these Clauses shall be resolved by the courts of England and Wales. </w:t>
      </w:r>
      <w:r w:rsidRPr="009C19B6">
        <w:rPr>
          <w:rFonts w:ascii="Arial" w:hAnsi="Arial" w:cs="Arial"/>
          <w:sz w:val="20"/>
          <w:szCs w:val="20"/>
          <w:lang w:val="en-US"/>
        </w:rPr>
        <w:t>A data subject may also bring legal proceedings against the data exporter and/or data importer before the courts of any country in the UK. The Parties agree to submit themselves to the jurisdiction of such courts.”; and</w:t>
      </w:r>
    </w:p>
    <w:p w14:paraId="791F6FC7" w14:textId="77777777" w:rsidR="00EB5620" w:rsidRPr="009C19B6" w:rsidRDefault="00EB5620" w:rsidP="00EB5620">
      <w:pPr>
        <w:numPr>
          <w:ilvl w:val="0"/>
          <w:numId w:val="21"/>
        </w:numPr>
        <w:suppressAutoHyphens w:val="0"/>
        <w:spacing w:after="200" w:line="276" w:lineRule="auto"/>
        <w:ind w:hanging="360"/>
        <w:rPr>
          <w:rFonts w:ascii="Arial" w:hAnsi="Arial" w:cs="Arial"/>
          <w:sz w:val="20"/>
          <w:szCs w:val="20"/>
          <w:lang w:val="en-US"/>
        </w:rPr>
      </w:pPr>
      <w:r w:rsidRPr="009C19B6">
        <w:rPr>
          <w:rFonts w:ascii="Arial" w:hAnsi="Arial" w:cs="Arial"/>
          <w:sz w:val="20"/>
          <w:szCs w:val="20"/>
          <w:lang w:val="en-US"/>
        </w:rPr>
        <w:t xml:space="preserve">The footnotes to the Approved EU SCCs do not form part of the Addendum, except for footnotes 8, 9, 10 and 11. </w:t>
      </w:r>
    </w:p>
    <w:p w14:paraId="4610184F" w14:textId="77777777" w:rsidR="00EB5620" w:rsidRPr="006378CC" w:rsidRDefault="00EB5620" w:rsidP="00EB5620">
      <w:pPr>
        <w:pStyle w:val="Heading3"/>
        <w:ind w:left="0"/>
        <w:rPr>
          <w:rFonts w:ascii="Arial" w:hAnsi="Arial" w:cs="Arial"/>
          <w:sz w:val="20"/>
          <w:szCs w:val="20"/>
        </w:rPr>
      </w:pPr>
      <w:r w:rsidRPr="006378CC">
        <w:rPr>
          <w:rFonts w:ascii="Arial" w:hAnsi="Arial" w:cs="Arial"/>
          <w:sz w:val="20"/>
          <w:szCs w:val="20"/>
        </w:rPr>
        <w:t xml:space="preserve">Amendments to this Addendum </w:t>
      </w:r>
    </w:p>
    <w:p w14:paraId="728161A4"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The Parties may agree to change Clauses 17 and/or 18 of the Addendum EU SCCs to refer to the laws and/or courts of Scotland or Northern Ireland.</w:t>
      </w:r>
    </w:p>
    <w:p w14:paraId="688BD3B3"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lastRenderedPageBreak/>
        <w:t>If the Parties wish to change the format of the information included in Part 1: Tables of the Approved Addendum, they may do so by agreeing to the change in writing, provided that the change does not reduce the Appropriate Safeguards.</w:t>
      </w:r>
    </w:p>
    <w:p w14:paraId="5745756F"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From time to time, the ICO may issue a revised Approved Addendum which: </w:t>
      </w:r>
    </w:p>
    <w:p w14:paraId="1EB70362" w14:textId="77777777" w:rsidR="00EB5620" w:rsidRPr="006378CC" w:rsidRDefault="00EB5620" w:rsidP="00EB5620">
      <w:pPr>
        <w:pStyle w:val="ListParagraph"/>
        <w:widowControl/>
        <w:numPr>
          <w:ilvl w:val="0"/>
          <w:numId w:val="22"/>
        </w:numPr>
        <w:suppressAutoHyphens w:val="0"/>
        <w:autoSpaceDE/>
        <w:spacing w:after="366" w:line="276" w:lineRule="auto"/>
        <w:ind w:left="851" w:hanging="425"/>
        <w:contextualSpacing/>
        <w:jc w:val="left"/>
        <w:rPr>
          <w:rFonts w:ascii="Arial" w:hAnsi="Arial" w:cs="Arial"/>
          <w:sz w:val="20"/>
          <w:szCs w:val="20"/>
        </w:rPr>
      </w:pPr>
      <w:r w:rsidRPr="006378CC">
        <w:rPr>
          <w:rFonts w:ascii="Arial" w:hAnsi="Arial" w:cs="Arial"/>
          <w:sz w:val="20"/>
          <w:szCs w:val="20"/>
        </w:rPr>
        <w:t>makes reasonable and proportionate changes to the Approved Addendum, including correcting errors in the Approved Addendum; and/or</w:t>
      </w:r>
    </w:p>
    <w:p w14:paraId="6E099B31" w14:textId="77777777" w:rsidR="00EB5620" w:rsidRPr="006378CC" w:rsidRDefault="00EB5620" w:rsidP="00EB5620">
      <w:pPr>
        <w:pStyle w:val="ListParagraph"/>
        <w:widowControl/>
        <w:numPr>
          <w:ilvl w:val="0"/>
          <w:numId w:val="22"/>
        </w:numPr>
        <w:suppressAutoHyphens w:val="0"/>
        <w:autoSpaceDE/>
        <w:spacing w:after="200" w:line="276" w:lineRule="auto"/>
        <w:ind w:left="851" w:hanging="425"/>
        <w:contextualSpacing/>
        <w:jc w:val="left"/>
        <w:rPr>
          <w:rFonts w:ascii="Arial" w:hAnsi="Arial" w:cs="Arial"/>
          <w:sz w:val="20"/>
          <w:szCs w:val="20"/>
        </w:rPr>
      </w:pPr>
      <w:r w:rsidRPr="006378CC">
        <w:rPr>
          <w:rFonts w:ascii="Arial" w:hAnsi="Arial" w:cs="Arial"/>
          <w:sz w:val="20"/>
          <w:szCs w:val="20"/>
        </w:rPr>
        <w:t>reflects changes to UK Data Protection Laws;</w:t>
      </w:r>
    </w:p>
    <w:p w14:paraId="0193A9C8" w14:textId="77777777" w:rsidR="00EB5620" w:rsidRPr="006378CC" w:rsidRDefault="00EB5620" w:rsidP="00EB5620">
      <w:pPr>
        <w:pStyle w:val="NormalNumbered"/>
        <w:numPr>
          <w:ilvl w:val="0"/>
          <w:numId w:val="0"/>
        </w:numPr>
        <w:ind w:left="454"/>
        <w:rPr>
          <w:rFonts w:ascii="Arial" w:hAnsi="Arial" w:cs="Arial"/>
          <w:sz w:val="20"/>
          <w:szCs w:val="20"/>
        </w:rPr>
      </w:pPr>
      <w:r w:rsidRPr="006378CC">
        <w:rPr>
          <w:rFonts w:ascii="Arial" w:hAnsi="Arial" w:cs="Arial"/>
          <w:sz w:val="20"/>
          <w:szCs w:val="20"/>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18E4FE41" w14:textId="77777777" w:rsidR="00EB5620" w:rsidRPr="006378CC" w:rsidRDefault="00EB5620" w:rsidP="00EB5620">
      <w:pPr>
        <w:pStyle w:val="NormalNumbered"/>
        <w:rPr>
          <w:rFonts w:ascii="Arial" w:hAnsi="Arial" w:cs="Arial"/>
          <w:sz w:val="20"/>
          <w:szCs w:val="20"/>
        </w:rPr>
      </w:pPr>
      <w:r w:rsidRPr="006378CC">
        <w:rPr>
          <w:rFonts w:ascii="Arial" w:hAnsi="Arial" w:cs="Arial"/>
          <w:sz w:val="20"/>
          <w:szCs w:val="20"/>
        </w:rPr>
        <w:t xml:space="preserve">If the ICO issues a revised Approved Addendum under Section </w:t>
      </w:r>
      <w:r w:rsidRPr="006378CC">
        <w:rPr>
          <w:rFonts w:ascii="Arial" w:hAnsi="Arial" w:cs="Arial"/>
          <w:sz w:val="20"/>
          <w:szCs w:val="20"/>
        </w:rPr>
        <w:fldChar w:fldCharType="begin"/>
      </w:r>
      <w:r w:rsidRPr="006378CC">
        <w:rPr>
          <w:rFonts w:ascii="Arial" w:hAnsi="Arial" w:cs="Arial"/>
          <w:sz w:val="20"/>
          <w:szCs w:val="20"/>
        </w:rPr>
        <w:instrText xml:space="preserve"> REF _Ref90907400 \r \h  \* MERGEFORMAT </w:instrText>
      </w:r>
      <w:r w:rsidRPr="006378CC">
        <w:rPr>
          <w:rFonts w:ascii="Arial" w:hAnsi="Arial" w:cs="Arial"/>
          <w:sz w:val="20"/>
          <w:szCs w:val="20"/>
        </w:rPr>
      </w:r>
      <w:r w:rsidRPr="006378CC">
        <w:rPr>
          <w:rFonts w:ascii="Arial" w:hAnsi="Arial" w:cs="Arial"/>
          <w:sz w:val="20"/>
          <w:szCs w:val="20"/>
        </w:rPr>
        <w:fldChar w:fldCharType="separate"/>
      </w:r>
      <w:r w:rsidRPr="006378CC">
        <w:rPr>
          <w:rFonts w:ascii="Arial" w:hAnsi="Arial" w:cs="Arial"/>
          <w:sz w:val="20"/>
          <w:szCs w:val="20"/>
          <w:cs/>
        </w:rPr>
        <w:t>‎</w:t>
      </w:r>
      <w:r w:rsidRPr="006378CC">
        <w:rPr>
          <w:rFonts w:ascii="Arial" w:hAnsi="Arial" w:cs="Arial"/>
          <w:sz w:val="20"/>
          <w:szCs w:val="20"/>
        </w:rPr>
        <w:t>18</w:t>
      </w:r>
      <w:r w:rsidRPr="006378CC">
        <w:rPr>
          <w:rFonts w:ascii="Arial" w:hAnsi="Arial" w:cs="Arial"/>
          <w:sz w:val="20"/>
          <w:szCs w:val="20"/>
        </w:rPr>
        <w:fldChar w:fldCharType="end"/>
      </w:r>
      <w:r w:rsidRPr="006378CC">
        <w:rPr>
          <w:rFonts w:ascii="Arial" w:hAnsi="Arial" w:cs="Arial"/>
          <w:sz w:val="20"/>
          <w:szCs w:val="20"/>
        </w:rPr>
        <w:t xml:space="preserve">, if any Party selected in Table 4 “Ending the Addendum when the Approved Addendum changes”, will as a direct result of the changes in the Approved Addendum have a substantial, disproportionate and demonstrable increase in: </w:t>
      </w:r>
    </w:p>
    <w:p w14:paraId="23FAB79E" w14:textId="77777777" w:rsidR="00EB5620" w:rsidRPr="006378CC" w:rsidRDefault="00EB5620" w:rsidP="00EB5620">
      <w:pPr>
        <w:pStyle w:val="ListParagraph"/>
        <w:widowControl/>
        <w:numPr>
          <w:ilvl w:val="0"/>
          <w:numId w:val="24"/>
        </w:numPr>
        <w:suppressAutoHyphens w:val="0"/>
        <w:autoSpaceDE/>
        <w:spacing w:after="200" w:line="276" w:lineRule="auto"/>
        <w:ind w:left="851" w:hanging="425"/>
        <w:contextualSpacing/>
        <w:jc w:val="left"/>
        <w:rPr>
          <w:rFonts w:ascii="Arial" w:hAnsi="Arial" w:cs="Arial"/>
          <w:sz w:val="20"/>
          <w:szCs w:val="20"/>
        </w:rPr>
      </w:pPr>
      <w:r w:rsidRPr="006378CC">
        <w:rPr>
          <w:rFonts w:ascii="Arial" w:hAnsi="Arial" w:cs="Arial"/>
          <w:sz w:val="20"/>
          <w:szCs w:val="20"/>
        </w:rPr>
        <w:t xml:space="preserve">its direct costs of performing its obligations under the Addendum; and/or </w:t>
      </w:r>
    </w:p>
    <w:p w14:paraId="6462E99F" w14:textId="77777777" w:rsidR="00EB5620" w:rsidRPr="006378CC" w:rsidRDefault="00EB5620" w:rsidP="00EB5620">
      <w:pPr>
        <w:pStyle w:val="ListParagraph"/>
        <w:widowControl/>
        <w:numPr>
          <w:ilvl w:val="0"/>
          <w:numId w:val="24"/>
        </w:numPr>
        <w:suppressAutoHyphens w:val="0"/>
        <w:autoSpaceDE/>
        <w:spacing w:after="200" w:line="276" w:lineRule="auto"/>
        <w:ind w:left="851" w:hanging="425"/>
        <w:contextualSpacing/>
        <w:jc w:val="left"/>
        <w:rPr>
          <w:rFonts w:ascii="Arial" w:hAnsi="Arial" w:cs="Arial"/>
          <w:sz w:val="20"/>
          <w:szCs w:val="20"/>
        </w:rPr>
      </w:pPr>
      <w:r w:rsidRPr="006378CC">
        <w:rPr>
          <w:rFonts w:ascii="Arial" w:hAnsi="Arial" w:cs="Arial"/>
          <w:sz w:val="20"/>
          <w:szCs w:val="20"/>
        </w:rPr>
        <w:t xml:space="preserve">its risk under the Addendum, </w:t>
      </w:r>
    </w:p>
    <w:p w14:paraId="41A96A51" w14:textId="77777777" w:rsidR="00EB5620" w:rsidRPr="006378CC" w:rsidRDefault="00EB5620" w:rsidP="00EB5620">
      <w:pPr>
        <w:pStyle w:val="NormalNumbered"/>
        <w:numPr>
          <w:ilvl w:val="0"/>
          <w:numId w:val="0"/>
        </w:numPr>
        <w:ind w:left="454"/>
        <w:rPr>
          <w:rFonts w:ascii="Arial" w:hAnsi="Arial" w:cs="Arial"/>
          <w:sz w:val="20"/>
          <w:szCs w:val="20"/>
        </w:rPr>
      </w:pPr>
      <w:r w:rsidRPr="006378CC">
        <w:rPr>
          <w:rFonts w:ascii="Arial" w:hAnsi="Arial" w:cs="Arial"/>
          <w:sz w:val="20"/>
          <w:szCs w:val="20"/>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p>
    <w:p w14:paraId="1B6076A7" w14:textId="77777777" w:rsidR="00EB5620" w:rsidRDefault="00EB5620" w:rsidP="00EB5620">
      <w:pPr>
        <w:pStyle w:val="NormalNumbered"/>
        <w:rPr>
          <w:rFonts w:ascii="Arial" w:hAnsi="Arial" w:cs="Arial"/>
          <w:sz w:val="20"/>
          <w:szCs w:val="20"/>
        </w:rPr>
      </w:pPr>
      <w:r w:rsidRPr="006378CC">
        <w:rPr>
          <w:rFonts w:ascii="Arial" w:hAnsi="Arial" w:cs="Arial"/>
          <w:sz w:val="20"/>
          <w:szCs w:val="20"/>
        </w:rPr>
        <w:t>The Parties do not need the consent of any third party to make changes to this Addendum, but any changes must be made in accordance with its terms.</w:t>
      </w:r>
    </w:p>
    <w:p w14:paraId="5EB4943F" w14:textId="77777777" w:rsidR="00EB5620" w:rsidRPr="006378CC" w:rsidRDefault="00EB5620" w:rsidP="009C19B6">
      <w:pPr>
        <w:pStyle w:val="NormalNumbered"/>
        <w:numPr>
          <w:ilvl w:val="0"/>
          <w:numId w:val="0"/>
        </w:numPr>
        <w:ind w:left="454"/>
        <w:rPr>
          <w:rFonts w:ascii="Arial" w:hAnsi="Arial" w:cs="Arial"/>
          <w:sz w:val="20"/>
          <w:szCs w:val="20"/>
        </w:rPr>
      </w:pPr>
    </w:p>
    <w:p w14:paraId="50A81BD6" w14:textId="77777777" w:rsidR="00B26878" w:rsidRPr="009C19B6" w:rsidRDefault="00B26878">
      <w:pPr>
        <w:tabs>
          <w:tab w:val="left" w:pos="455"/>
        </w:tabs>
        <w:rPr>
          <w:lang w:val="en-US"/>
        </w:rPr>
      </w:pPr>
      <w:bookmarkStart w:id="0" w:name="_bookmark24"/>
      <w:bookmarkStart w:id="1" w:name="_bookmark29"/>
      <w:bookmarkStart w:id="2" w:name="_bookmark31"/>
      <w:bookmarkStart w:id="3" w:name="_bookmark33"/>
      <w:bookmarkStart w:id="4" w:name="_bookmark36"/>
      <w:bookmarkStart w:id="5" w:name="_bookmark39"/>
      <w:bookmarkStart w:id="6" w:name="_bookmark41"/>
      <w:bookmarkStart w:id="7" w:name="_bookmark43"/>
      <w:bookmarkStart w:id="8" w:name="_bookmark45"/>
      <w:bookmarkStart w:id="9" w:name="_bookmark46"/>
      <w:bookmarkEnd w:id="0"/>
      <w:bookmarkEnd w:id="1"/>
      <w:bookmarkEnd w:id="2"/>
      <w:bookmarkEnd w:id="3"/>
      <w:bookmarkEnd w:id="4"/>
      <w:bookmarkEnd w:id="5"/>
      <w:bookmarkEnd w:id="6"/>
      <w:bookmarkEnd w:id="7"/>
      <w:bookmarkEnd w:id="8"/>
      <w:bookmarkEnd w:id="9"/>
    </w:p>
    <w:sectPr w:rsidR="00B26878" w:rsidRPr="009C19B6">
      <w:headerReference w:type="even" r:id="rId21"/>
      <w:headerReference w:type="default" r:id="rId22"/>
      <w:footerReference w:type="even" r:id="rId23"/>
      <w:footerReference w:type="default" r:id="rId24"/>
      <w:headerReference w:type="first" r:id="rId25"/>
      <w:footerReference w:type="first" r:id="rId26"/>
      <w:pgSz w:w="11906" w:h="16838"/>
      <w:pgMar w:top="1247"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EBD4" w14:textId="77777777" w:rsidR="007E3D5F" w:rsidRDefault="007E3D5F">
      <w:r>
        <w:separator/>
      </w:r>
    </w:p>
  </w:endnote>
  <w:endnote w:type="continuationSeparator" w:id="0">
    <w:p w14:paraId="4AFBFE35" w14:textId="77777777" w:rsidR="007E3D5F" w:rsidRDefault="007E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1"/>
    <w:family w:val="auto"/>
    <w:pitch w:val="variable"/>
  </w:font>
  <w:font w:name="Lohit Devanagari">
    <w:altName w:val="Calibri"/>
    <w:panose1 w:val="020B0604020202020204"/>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PEDH+Arial">
    <w:panose1 w:val="020B0604020202020204"/>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101" w14:textId="77777777" w:rsidR="0006378C" w:rsidRDefault="0006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049E" w14:textId="77777777" w:rsidR="007E3D5F" w:rsidRDefault="001E5552">
    <w:pPr>
      <w:pStyle w:val="Footer"/>
    </w:pPr>
    <w:r>
      <w:rPr>
        <w:noProof/>
      </w:rPr>
    </w:r>
    <w:r w:rsidR="001E5552">
      <w:rPr>
        <w:noProof/>
      </w:rPr>
      <w:pict w14:anchorId="71E85338">
        <v:shapetype id="_x0000_t202" coordsize="21600,21600" o:spt="202" path="m,l,21600r21600,l21600,xe">
          <v:stroke joinstyle="miter"/>
          <v:path gradientshapeok="t" o:connecttype="rect"/>
        </v:shapetype>
        <v:shape id="_x0000_s1027" type="#_x0000_t202" alt="" style="position:absolute;left:0;text-align:left;margin-left:0;margin-top:.05pt;width:4.3pt;height:9pt;z-index:251656704;mso-wrap-style:square;mso-wrap-edited:f;mso-width-percent:0;mso-height-percent:0;mso-wrap-distance-left:0;mso-wrap-distance-right:0;mso-position-horizontal:center;mso-position-horizontal-relative:margin;mso-width-percent:0;mso-height-percent:0;v-text-anchor:top" stroked="f">
          <v:fill opacity="0" color2="black"/>
          <v:textbox inset=".15pt,.15pt,.15pt,.15pt">
            <w:txbxContent>
              <w:p w14:paraId="0CC020AF" w14:textId="77777777" w:rsidR="007E3D5F" w:rsidRDefault="007E3D5F">
                <w:pPr>
                  <w:pStyle w:val="Foote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7</w:t>
                </w:r>
                <w:r>
                  <w:rPr>
                    <w:rStyle w:val="PageNumber"/>
                    <w:sz w:val="16"/>
                  </w:rPr>
                  <w:fldChar w:fldCharType="end"/>
                </w:r>
              </w:p>
            </w:txbxContent>
          </v:textbox>
          <w10:wrap type="square" side="largest"/>
        </v:shape>
      </w:pict>
    </w:r>
  </w:p>
  <w:p w14:paraId="4DBA1E74" w14:textId="77777777" w:rsidR="007E3D5F" w:rsidRDefault="007E3D5F">
    <w:pPr>
      <w:pStyle w:val="Footer"/>
    </w:pPr>
    <w:r>
      <w:rPr>
        <w:sz w:val="20"/>
      </w:rPr>
      <w:t>Data Processing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3DCC" w14:textId="77777777" w:rsidR="007E3D5F" w:rsidRDefault="007E3D5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70B9" w14:textId="77777777" w:rsidR="007E3D5F" w:rsidRDefault="007E3D5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DB00" w14:textId="77777777" w:rsidR="007E3D5F" w:rsidRDefault="001E5552">
    <w:pPr>
      <w:pStyle w:val="Footer"/>
    </w:pPr>
    <w:r>
      <w:rPr>
        <w:noProof/>
      </w:rPr>
    </w:r>
    <w:r w:rsidR="001E5552">
      <w:rPr>
        <w:noProof/>
      </w:rPr>
      <w:pict w14:anchorId="6C1AC638">
        <v:shapetype id="_x0000_t202" coordsize="21600,21600" o:spt="202" path="m,l,21600r21600,l21600,xe">
          <v:stroke joinstyle="miter"/>
          <v:path gradientshapeok="t" o:connecttype="rect"/>
        </v:shapetype>
        <v:shape id="_x0000_s1026" type="#_x0000_t202" alt="" style="position:absolute;left:0;text-align:left;margin-left:0;margin-top:.05pt;width:8.75pt;height:9pt;z-index:251657728;mso-wrap-style:square;mso-wrap-edited:f;mso-width-percent:0;mso-height-percent:0;mso-wrap-distance-left:0;mso-wrap-distance-right:0;mso-position-horizontal:center;mso-position-horizontal-relative:margin;mso-width-percent:0;mso-height-percent:0;v-text-anchor:top" stroked="f">
          <v:fill opacity="0" color2="black"/>
          <v:textbox inset=".15pt,.15pt,.15pt,.15pt">
            <w:txbxContent>
              <w:p w14:paraId="78672E13" w14:textId="77777777" w:rsidR="007E3D5F" w:rsidRDefault="007E3D5F">
                <w:pPr>
                  <w:pStyle w:val="Foote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11</w:t>
                </w:r>
                <w:r>
                  <w:rPr>
                    <w:rStyle w:val="PageNumber"/>
                    <w:sz w:val="16"/>
                  </w:rPr>
                  <w:fldChar w:fldCharType="end"/>
                </w:r>
              </w:p>
            </w:txbxContent>
          </v:textbox>
          <w10:wrap type="square" side="largest"/>
        </v:shape>
      </w:pict>
    </w:r>
  </w:p>
  <w:p w14:paraId="04D14687" w14:textId="77777777" w:rsidR="007E3D5F" w:rsidRDefault="007E3D5F">
    <w:pPr>
      <w:pStyle w:val="Footer"/>
    </w:pPr>
    <w:r>
      <w:rPr>
        <w:sz w:val="20"/>
      </w:rPr>
      <w:t>Data Processing Agreement with new SCCs – draft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F819" w14:textId="77777777" w:rsidR="007E3D5F" w:rsidRDefault="007E3D5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8FDF" w14:textId="77777777" w:rsidR="007E3D5F" w:rsidRDefault="007E3D5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ADC8" w14:textId="77777777" w:rsidR="007E3D5F" w:rsidRDefault="001E5552">
    <w:pPr>
      <w:pStyle w:val="Footer"/>
    </w:pPr>
    <w:r>
      <w:rPr>
        <w:noProof/>
      </w:rPr>
    </w:r>
    <w:r w:rsidR="001E5552">
      <w:rPr>
        <w:noProof/>
      </w:rPr>
      <w:pict w14:anchorId="7A4F4081">
        <v:shapetype id="_x0000_t202" coordsize="21600,21600" o:spt="202" path="m,l,21600r21600,l21600,xe">
          <v:stroke joinstyle="miter"/>
          <v:path gradientshapeok="t" o:connecttype="rect"/>
        </v:shapetype>
        <v:shape id="_x0000_s1025" type="#_x0000_t202" alt="" style="position:absolute;left:0;text-align:left;margin-left:0;margin-top:.05pt;width:8.75pt;height:9pt;z-index:251658752;mso-wrap-style:square;mso-wrap-edited:f;mso-width-percent:0;mso-height-percent:0;mso-wrap-distance-left:0;mso-wrap-distance-right:0;mso-position-horizontal:center;mso-position-horizontal-relative:margin;mso-width-percent:0;mso-height-percent:0;v-text-anchor:top" stroked="f">
          <v:fill opacity="0" color2="black"/>
          <v:textbox inset=".15pt,.15pt,.15pt,.15pt">
            <w:txbxContent>
              <w:p w14:paraId="511EBAB2" w14:textId="77777777" w:rsidR="007E3D5F" w:rsidRDefault="007E3D5F">
                <w:pPr>
                  <w:pStyle w:val="Footer"/>
                </w:pP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15</w:t>
                </w:r>
                <w:r>
                  <w:rPr>
                    <w:rStyle w:val="PageNumber"/>
                    <w:sz w:val="16"/>
                  </w:rPr>
                  <w:fldChar w:fldCharType="end"/>
                </w:r>
              </w:p>
            </w:txbxContent>
          </v:textbox>
          <w10:wrap type="square" side="largest"/>
        </v:shape>
      </w:pict>
    </w:r>
  </w:p>
  <w:p w14:paraId="07699C83" w14:textId="77777777" w:rsidR="007E3D5F" w:rsidRDefault="007E3D5F">
    <w:pPr>
      <w:pStyle w:val="Footer"/>
    </w:pPr>
    <w:r>
      <w:t>Data Processing Agreement with new SCCs – draft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0888" w14:textId="77777777" w:rsidR="007E3D5F" w:rsidRDefault="007E3D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D09C" w14:textId="77777777" w:rsidR="007E3D5F" w:rsidRDefault="007E3D5F">
      <w:r>
        <w:separator/>
      </w:r>
    </w:p>
  </w:footnote>
  <w:footnote w:type="continuationSeparator" w:id="0">
    <w:p w14:paraId="516FA8B7" w14:textId="77777777" w:rsidR="007E3D5F" w:rsidRDefault="007E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BCB1" w14:textId="77777777" w:rsidR="0006378C" w:rsidRDefault="00063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78C1" w14:textId="77777777" w:rsidR="007E3D5F" w:rsidRDefault="007E3D5F">
    <w:pPr>
      <w:pStyle w:val="Header"/>
      <w:tabs>
        <w:tab w:val="clear" w:pos="4320"/>
      </w:tabs>
      <w:rPr>
        <w:rFonts w:ascii="Trebuchet MS" w:hAnsi="Trebuchet MS" w:cs="Trebuchet MS"/>
        <w:b/>
        <w:bCs/>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4161" w14:textId="77777777" w:rsidR="007E3D5F" w:rsidRDefault="007E3D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39FF" w14:textId="77777777" w:rsidR="007E3D5F" w:rsidRDefault="007E3D5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7149" w14:textId="77777777" w:rsidR="007E3D5F" w:rsidRDefault="007E3D5F">
    <w:pPr>
      <w:pStyle w:val="Header"/>
      <w:tabs>
        <w:tab w:val="clear" w:pos="4320"/>
      </w:tabs>
      <w:rPr>
        <w:rFonts w:ascii="Trebuchet MS" w:hAnsi="Trebuchet MS" w:cs="Trebuchet MS"/>
        <w:b/>
        <w:bCs/>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26C2" w14:textId="77777777" w:rsidR="007E3D5F" w:rsidRDefault="007E3D5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7EB3" w14:textId="77777777" w:rsidR="007E3D5F" w:rsidRDefault="007E3D5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3F24" w14:textId="77777777" w:rsidR="007E3D5F" w:rsidRDefault="007E3D5F">
    <w:pPr>
      <w:pStyle w:val="Header"/>
      <w:tabs>
        <w:tab w:val="clear" w:pos="4320"/>
      </w:tabs>
      <w:rPr>
        <w:rFonts w:ascii="Trebuchet MS" w:hAnsi="Trebuchet MS" w:cs="Trebuchet MS"/>
        <w:b/>
        <w:bCs/>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3C74" w14:textId="77777777" w:rsidR="007E3D5F" w:rsidRDefault="007E3D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color w:val="084887"/>
      </w:rPr>
    </w:lvl>
  </w:abstractNum>
  <w:abstractNum w:abstractNumId="2" w15:restartNumberingAfterBreak="0">
    <w:nsid w:val="00000003"/>
    <w:multiLevelType w:val="singleLevel"/>
    <w:tmpl w:val="00000003"/>
    <w:name w:val="WW8Num3"/>
    <w:lvl w:ilvl="0">
      <w:start w:val="1"/>
      <w:numFmt w:val="bullet"/>
      <w:lvlText w:val=""/>
      <w:lvlJc w:val="left"/>
      <w:pPr>
        <w:tabs>
          <w:tab w:val="num" w:pos="576"/>
        </w:tabs>
        <w:ind w:left="432" w:hanging="216"/>
      </w:pPr>
      <w:rPr>
        <w:rFonts w:ascii="Symbol" w:hAnsi="Symbol" w:cs="Symbol" w:hint="default"/>
      </w:rPr>
    </w:lvl>
  </w:abstractNum>
  <w:abstractNum w:abstractNumId="3" w15:restartNumberingAfterBreak="0">
    <w:nsid w:val="00000004"/>
    <w:multiLevelType w:val="singleLevel"/>
    <w:tmpl w:val="00000004"/>
    <w:name w:val="WW8Num4"/>
    <w:lvl w:ilvl="0">
      <w:start w:val="1"/>
      <w:numFmt w:val="lowerRoman"/>
      <w:lvlText w:val="(%1)"/>
      <w:lvlJc w:val="left"/>
      <w:pPr>
        <w:tabs>
          <w:tab w:val="num" w:pos="0"/>
        </w:tabs>
        <w:ind w:left="1429" w:hanging="720"/>
      </w:pPr>
      <w:rPr>
        <w:rFonts w:ascii="Arial" w:hAnsi="Arial" w:cs="Arial" w:hint="default"/>
        <w:sz w:val="20"/>
        <w:lang w:val="en-GB"/>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0" w:firstLine="0"/>
      </w:pPr>
      <w:rPr>
        <w:rFonts w:ascii="Calibri" w:hAnsi="Calibri" w:cs="Arial"/>
        <w:b/>
        <w:i w:val="0"/>
        <w:caps w:val="0"/>
        <w:smallCaps w:val="0"/>
        <w:strike w:val="0"/>
        <w:dstrike w:val="0"/>
        <w:vanish w:val="0"/>
        <w:color w:val="auto"/>
        <w:position w:val="0"/>
        <w:sz w:val="20"/>
        <w:u w:val="none"/>
        <w:vertAlign w:val="baseline"/>
      </w:rPr>
    </w:lvl>
    <w:lvl w:ilvl="1">
      <w:start w:val="1"/>
      <w:numFmt w:val="decimal"/>
      <w:lvlText w:val="%1.%2"/>
      <w:lvlJc w:val="left"/>
      <w:pPr>
        <w:tabs>
          <w:tab w:val="num" w:pos="1440"/>
        </w:tabs>
        <w:ind w:left="0" w:firstLine="720"/>
      </w:pPr>
      <w:rPr>
        <w:rFonts w:ascii="Calibri" w:hAnsi="Calibri" w:cs="Arial"/>
        <w:b w:val="0"/>
        <w:i w:val="0"/>
        <w:caps w:val="0"/>
        <w:smallCaps w:val="0"/>
        <w:strike w:val="0"/>
        <w:dstrike w:val="0"/>
        <w:vanish w:val="0"/>
        <w:color w:val="auto"/>
        <w:position w:val="0"/>
        <w:sz w:val="20"/>
        <w:u w:val="none"/>
        <w:vertAlign w:val="baseline"/>
      </w:rPr>
    </w:lvl>
    <w:lvl w:ilvl="2">
      <w:start w:val="1"/>
      <w:numFmt w:val="lowerLetter"/>
      <w:lvlText w:val="(%3)"/>
      <w:lvlJc w:val="left"/>
      <w:pPr>
        <w:tabs>
          <w:tab w:val="num" w:pos="2160"/>
        </w:tabs>
        <w:ind w:left="0" w:firstLine="1440"/>
      </w:pPr>
      <w:rPr>
        <w:rFonts w:ascii="Calibri" w:hAnsi="Calibri" w:cs="Arial"/>
        <w:b w:val="0"/>
        <w:i w:val="0"/>
        <w:caps w:val="0"/>
        <w:smallCaps w:val="0"/>
        <w:strike w:val="0"/>
        <w:dstrike w:val="0"/>
        <w:vanish w:val="0"/>
        <w:color w:val="auto"/>
        <w:position w:val="0"/>
        <w:sz w:val="20"/>
        <w:u w:val="none"/>
        <w:vertAlign w:val="baseline"/>
      </w:rPr>
    </w:lvl>
    <w:lvl w:ilvl="3">
      <w:start w:val="1"/>
      <w:numFmt w:val="lowerRoman"/>
      <w:lvlText w:val="(%4)"/>
      <w:lvlJc w:val="left"/>
      <w:pPr>
        <w:tabs>
          <w:tab w:val="num" w:pos="2520"/>
        </w:tabs>
        <w:ind w:left="2520" w:hanging="360"/>
      </w:pPr>
      <w:rPr>
        <w:rFonts w:ascii="Calibri" w:hAnsi="Calibri" w:cs="Calibri" w:hint="default"/>
        <w:b w:val="0"/>
        <w:i w:val="0"/>
        <w:caps w:val="0"/>
        <w:smallCaps w:val="0"/>
        <w:strike w:val="0"/>
        <w:dstrike w:val="0"/>
        <w:vanish w:val="0"/>
        <w:color w:val="auto"/>
        <w:position w:val="0"/>
        <w:sz w:val="20"/>
        <w:szCs w:val="20"/>
        <w:u w:val="none"/>
        <w:vertAlign w:val="baseline"/>
      </w:rPr>
    </w:lvl>
    <w:lvl w:ilvl="4">
      <w:start w:val="1"/>
      <w:numFmt w:val="decimal"/>
      <w:lvlText w:val="(%5)"/>
      <w:lvlJc w:val="left"/>
      <w:pPr>
        <w:tabs>
          <w:tab w:val="num" w:pos="3024"/>
        </w:tabs>
        <w:ind w:left="3024" w:hanging="720"/>
      </w:pPr>
      <w:rPr>
        <w:rFonts w:ascii="Arial" w:hAnsi="Arial" w:cs="Arial"/>
        <w:b w:val="0"/>
        <w:i w:val="0"/>
        <w:caps w:val="0"/>
        <w:smallCaps w:val="0"/>
        <w:strike w:val="0"/>
        <w:dstrike w:val="0"/>
        <w:vanish w:val="0"/>
        <w:color w:val="auto"/>
        <w:position w:val="0"/>
        <w:sz w:val="22"/>
        <w:u w:val="none"/>
        <w:vertAlign w:val="baseline"/>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Cs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82" w:hanging="360"/>
      </w:pPr>
      <w:rPr>
        <w:rFonts w:ascii="Symbol" w:hAnsi="Symbol" w:cs="Symbol" w:hint="default"/>
        <w:szCs w:val="20"/>
        <w:lang w:eastAsia="en-G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0"/>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2280" w:hanging="720"/>
      </w:pPr>
      <w:rPr>
        <w:rFonts w:ascii="Arial" w:hAnsi="Arial" w:cs="Arial" w:hint="default"/>
        <w:b/>
        <w:sz w:val="20"/>
        <w:szCs w:val="20"/>
        <w:u w:val="none"/>
        <w:lang w:val="en-GB"/>
      </w:rPr>
    </w:lvl>
    <w:lvl w:ilvl="1">
      <w:start w:val="1"/>
      <w:numFmt w:val="decimal"/>
      <w:lvlText w:val="%1.%2"/>
      <w:lvlJc w:val="left"/>
      <w:pPr>
        <w:tabs>
          <w:tab w:val="num" w:pos="0"/>
        </w:tabs>
        <w:ind w:left="786" w:hanging="360"/>
      </w:pPr>
      <w:rPr>
        <w:rFonts w:ascii="Arial" w:eastAsia="Calibri" w:hAnsi="Arial" w:cs="Arial" w:hint="default"/>
        <w:b w:val="0"/>
        <w:sz w:val="20"/>
        <w:szCs w:val="20"/>
        <w:u w:val="none"/>
        <w:lang w:val="en-GB" w:eastAsia="en-US"/>
      </w:rPr>
    </w:lvl>
    <w:lvl w:ilvl="2">
      <w:start w:val="1"/>
      <w:numFmt w:val="decimal"/>
      <w:lvlText w:val="%1.%2.%3"/>
      <w:lvlJc w:val="left"/>
      <w:pPr>
        <w:tabs>
          <w:tab w:val="num" w:pos="0"/>
        </w:tabs>
        <w:ind w:left="720" w:hanging="720"/>
      </w:pPr>
      <w:rPr>
        <w:rFonts w:hint="default"/>
        <w:b/>
        <w:u w:val="single"/>
      </w:rPr>
    </w:lvl>
    <w:lvl w:ilvl="3">
      <w:start w:val="1"/>
      <w:numFmt w:val="decimal"/>
      <w:lvlText w:val="%1.%2.%3.%4"/>
      <w:lvlJc w:val="left"/>
      <w:pPr>
        <w:tabs>
          <w:tab w:val="num" w:pos="0"/>
        </w:tabs>
        <w:ind w:left="720" w:hanging="720"/>
      </w:pPr>
      <w:rPr>
        <w:rFonts w:hint="default"/>
        <w:b/>
        <w:u w:val="single"/>
      </w:rPr>
    </w:lvl>
    <w:lvl w:ilvl="4">
      <w:start w:val="1"/>
      <w:numFmt w:val="decimal"/>
      <w:lvlText w:val="%1.%2.%3.%4.%5"/>
      <w:lvlJc w:val="left"/>
      <w:pPr>
        <w:tabs>
          <w:tab w:val="num" w:pos="0"/>
        </w:tabs>
        <w:ind w:left="1080" w:hanging="1080"/>
      </w:pPr>
      <w:rPr>
        <w:rFonts w:hint="default"/>
        <w:b/>
        <w:u w:val="single"/>
      </w:rPr>
    </w:lvl>
    <w:lvl w:ilvl="5">
      <w:start w:val="1"/>
      <w:numFmt w:val="decimal"/>
      <w:lvlText w:val="%1.%2.%3.%4.%5.%6"/>
      <w:lvlJc w:val="left"/>
      <w:pPr>
        <w:tabs>
          <w:tab w:val="num" w:pos="0"/>
        </w:tabs>
        <w:ind w:left="1080" w:hanging="1080"/>
      </w:pPr>
      <w:rPr>
        <w:rFonts w:hint="default"/>
        <w:b/>
        <w:u w:val="single"/>
      </w:rPr>
    </w:lvl>
    <w:lvl w:ilvl="6">
      <w:start w:val="1"/>
      <w:numFmt w:val="decimal"/>
      <w:lvlText w:val="%1.%2.%3.%4.%5.%6.%7"/>
      <w:lvlJc w:val="left"/>
      <w:pPr>
        <w:tabs>
          <w:tab w:val="num" w:pos="0"/>
        </w:tabs>
        <w:ind w:left="1440" w:hanging="1440"/>
      </w:pPr>
      <w:rPr>
        <w:rFonts w:hint="default"/>
        <w:b/>
        <w:u w:val="single"/>
      </w:rPr>
    </w:lvl>
    <w:lvl w:ilvl="7">
      <w:start w:val="1"/>
      <w:numFmt w:val="decimal"/>
      <w:lvlText w:val="%1.%2.%3.%4.%5.%6.%7.%8"/>
      <w:lvlJc w:val="left"/>
      <w:pPr>
        <w:tabs>
          <w:tab w:val="num" w:pos="0"/>
        </w:tabs>
        <w:ind w:left="1440" w:hanging="1440"/>
      </w:pPr>
      <w:rPr>
        <w:rFonts w:hint="default"/>
        <w:b/>
        <w:u w:val="single"/>
      </w:rPr>
    </w:lvl>
    <w:lvl w:ilvl="8">
      <w:start w:val="1"/>
      <w:numFmt w:val="decimal"/>
      <w:lvlText w:val="%1.%2.%3.%4.%5.%6.%7.%8.%9"/>
      <w:lvlJc w:val="left"/>
      <w:pPr>
        <w:tabs>
          <w:tab w:val="num" w:pos="0"/>
        </w:tabs>
        <w:ind w:left="1440" w:hanging="1440"/>
      </w:pPr>
      <w:rPr>
        <w:rFonts w:hint="default"/>
        <w:b/>
        <w:u w:val="single"/>
      </w:rPr>
    </w:lvl>
  </w:abstractNum>
  <w:abstractNum w:abstractNumId="10" w15:restartNumberingAfterBreak="0">
    <w:nsid w:val="0000000B"/>
    <w:multiLevelType w:val="multilevel"/>
    <w:tmpl w:val="0000000B"/>
    <w:name w:val="WW8Num11"/>
    <w:lvl w:ilvl="0">
      <w:start w:val="1"/>
      <w:numFmt w:val="decimal"/>
      <w:lvlText w:val="%1"/>
      <w:lvlJc w:val="left"/>
      <w:pPr>
        <w:tabs>
          <w:tab w:val="num" w:pos="851"/>
        </w:tabs>
        <w:ind w:left="851" w:hanging="851"/>
      </w:pPr>
      <w:rPr>
        <w:rFonts w:ascii="Arial" w:hAnsi="Arial" w:cs="Arial" w:hint="default"/>
        <w:b/>
        <w:bCs/>
        <w:i w:val="0"/>
        <w:iCs w:val="0"/>
        <w:caps w:val="0"/>
        <w:smallCaps w:val="0"/>
        <w:strike w:val="0"/>
        <w:dstrike w:val="0"/>
        <w:outline w:val="0"/>
        <w:shadow w:val="0"/>
        <w:color w:val="auto"/>
        <w:spacing w:val="0"/>
        <w:w w:val="100"/>
        <w:kern w:val="0"/>
        <w:position w:val="0"/>
        <w:sz w:val="22"/>
        <w:u w:val="none"/>
        <w:shd w:val="clear" w:color="auto" w:fill="auto"/>
        <w:vertAlign w:val="baseline"/>
        <w:em w:val="none"/>
      </w:rPr>
    </w:lvl>
    <w:lvl w:ilvl="1">
      <w:start w:val="1"/>
      <w:numFmt w:val="decimal"/>
      <w:lvlText w:val="%1.%2"/>
      <w:lvlJc w:val="left"/>
      <w:pPr>
        <w:tabs>
          <w:tab w:val="num" w:pos="851"/>
        </w:tabs>
        <w:ind w:left="851" w:hanging="851"/>
      </w:pPr>
      <w:rPr>
        <w:rFonts w:ascii="Arial" w:hAnsi="Arial" w:cs="Arial" w:hint="default"/>
        <w:b w:val="0"/>
        <w:i w:val="0"/>
        <w:sz w:val="22"/>
      </w:rPr>
    </w:lvl>
    <w:lvl w:ilvl="2">
      <w:start w:val="1"/>
      <w:numFmt w:val="decimal"/>
      <w:lvlText w:val="%1.%2.%3"/>
      <w:lvlJc w:val="left"/>
      <w:pPr>
        <w:tabs>
          <w:tab w:val="num" w:pos="2061"/>
        </w:tabs>
        <w:ind w:left="2061" w:hanging="851"/>
      </w:pPr>
      <w:rPr>
        <w:b/>
      </w:rPr>
    </w:lvl>
    <w:lvl w:ilvl="3">
      <w:start w:val="1"/>
      <w:numFmt w:val="decimal"/>
      <w:lvlText w:val="%1.%2.%3.%4"/>
      <w:lvlJc w:val="left"/>
      <w:pPr>
        <w:tabs>
          <w:tab w:val="num" w:pos="851"/>
        </w:tabs>
        <w:ind w:left="851" w:hanging="851"/>
      </w:pPr>
      <w:rPr>
        <w:rFonts w:ascii="Arial" w:hAnsi="Arial" w:cs="Arial" w:hint="default"/>
        <w:b w:val="0"/>
        <w:bCs w:val="0"/>
        <w:i w:val="0"/>
        <w:iCs w:val="0"/>
        <w:caps w:val="0"/>
        <w:smallCaps w:val="0"/>
        <w:strike w:val="0"/>
        <w:dstrike w:val="0"/>
        <w:outline w:val="0"/>
        <w:shadow w:val="0"/>
        <w:color w:val="auto"/>
        <w:spacing w:val="0"/>
        <w:w w:val="100"/>
        <w:kern w:val="0"/>
        <w:position w:val="0"/>
        <w:sz w:val="22"/>
        <w:u w:val="none"/>
        <w:shd w:val="clear" w:color="auto" w:fill="auto"/>
        <w:vertAlign w:val="baseline"/>
        <w:em w:val="none"/>
      </w:rPr>
    </w:lvl>
    <w:lvl w:ilvl="4">
      <w:start w:val="1"/>
      <w:numFmt w:val="lowerLetter"/>
      <w:lvlText w:val="(%5)"/>
      <w:lvlJc w:val="left"/>
      <w:pPr>
        <w:tabs>
          <w:tab w:val="num" w:pos="1840"/>
        </w:tabs>
        <w:ind w:left="1840" w:hanging="850"/>
      </w:pPr>
      <w:rPr>
        <w:rFonts w:ascii="Times New Roman" w:hAnsi="Times New Roman" w:cs="Times New Roman" w:hint="default"/>
        <w:b w:val="0"/>
        <w:i w:val="0"/>
        <w:sz w:val="22"/>
      </w:rPr>
    </w:lvl>
    <w:lvl w:ilvl="5">
      <w:start w:val="1"/>
      <w:numFmt w:val="lowerRoman"/>
      <w:lvlText w:val="(%6)"/>
      <w:lvlJc w:val="left"/>
      <w:pPr>
        <w:tabs>
          <w:tab w:val="num" w:pos="2552"/>
        </w:tabs>
        <w:ind w:left="2552" w:hanging="851"/>
      </w:pPr>
      <w:rPr>
        <w:rFonts w:ascii="Times New Roman" w:hAnsi="Times New Roman" w:cs="Times New Roman" w:hint="default"/>
        <w:b w:val="0"/>
        <w:i w:val="0"/>
        <w:sz w:val="22"/>
      </w:rPr>
    </w:lvl>
    <w:lvl w:ilvl="6">
      <w:start w:val="1"/>
      <w:numFmt w:val="decimal"/>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lvl>
  </w:abstractNum>
  <w:abstractNum w:abstractNumId="11" w15:restartNumberingAfterBreak="0">
    <w:nsid w:val="0000000C"/>
    <w:multiLevelType w:val="multilevel"/>
    <w:tmpl w:val="0000000C"/>
    <w:name w:val="WW8Num12"/>
    <w:lvl w:ilvl="0">
      <w:start w:val="1"/>
      <w:numFmt w:val="none"/>
      <w:suff w:val="nothing"/>
      <w:lvlText w:val="●"/>
      <w:lvlJc w:val="left"/>
      <w:pPr>
        <w:tabs>
          <w:tab w:val="num" w:pos="0"/>
        </w:tabs>
        <w:ind w:left="360" w:hanging="360"/>
      </w:pPr>
    </w:lvl>
    <w:lvl w:ilvl="1">
      <w:start w:val="1"/>
      <w:numFmt w:val="none"/>
      <w:suff w:val="nothing"/>
      <w:lvlText w:val="●"/>
      <w:lvlJc w:val="left"/>
      <w:pPr>
        <w:tabs>
          <w:tab w:val="num" w:pos="0"/>
        </w:tabs>
        <w:ind w:left="720" w:hanging="360"/>
      </w:pPr>
    </w:lvl>
    <w:lvl w:ilvl="2">
      <w:start w:val="1"/>
      <w:numFmt w:val="none"/>
      <w:suff w:val="nothing"/>
      <w:lvlText w:val="●"/>
      <w:lvlJc w:val="left"/>
      <w:pPr>
        <w:tabs>
          <w:tab w:val="num" w:pos="0"/>
        </w:tabs>
        <w:ind w:left="1080" w:hanging="360"/>
      </w:pPr>
    </w:lvl>
    <w:lvl w:ilvl="3">
      <w:start w:val="1"/>
      <w:numFmt w:val="none"/>
      <w:suff w:val="nothing"/>
      <w:lvlText w:val="●"/>
      <w:lvlJc w:val="left"/>
      <w:pPr>
        <w:tabs>
          <w:tab w:val="num" w:pos="0"/>
        </w:tabs>
        <w:ind w:left="1440" w:hanging="360"/>
      </w:pPr>
    </w:lvl>
    <w:lvl w:ilvl="4">
      <w:start w:val="1"/>
      <w:numFmt w:val="none"/>
      <w:suff w:val="nothing"/>
      <w:lvlText w:val="●"/>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360" w:hanging="360"/>
      </w:pPr>
    </w:lvl>
    <w:lvl w:ilvl="7">
      <w:start w:val="1"/>
      <w:numFmt w:val="none"/>
      <w:suff w:val="nothing"/>
      <w:lvlText w:val="●"/>
      <w:lvlJc w:val="left"/>
      <w:pPr>
        <w:tabs>
          <w:tab w:val="num" w:pos="0"/>
        </w:tabs>
        <w:ind w:left="720" w:hanging="360"/>
      </w:pPr>
    </w:lvl>
    <w:lvl w:ilvl="8">
      <w:start w:val="1"/>
      <w:numFmt w:val="none"/>
      <w:suff w:val="nothing"/>
      <w:lvlText w:val=""/>
      <w:lvlJc w:val="left"/>
      <w:pPr>
        <w:tabs>
          <w:tab w:val="num" w:pos="0"/>
        </w:tabs>
        <w:ind w:left="0" w:firstLine="0"/>
      </w:pPr>
    </w:lvl>
  </w:abstractNum>
  <w:abstractNum w:abstractNumId="12" w15:restartNumberingAfterBreak="0">
    <w:nsid w:val="0000000D"/>
    <w:multiLevelType w:val="multilevel"/>
    <w:tmpl w:val="0000000D"/>
    <w:name w:val="WW8Num1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E"/>
    <w:multiLevelType w:val="singleLevel"/>
    <w:tmpl w:val="0000000E"/>
    <w:name w:val="WW8Num14"/>
    <w:lvl w:ilvl="0">
      <w:start w:val="1"/>
      <w:numFmt w:val="lowerRoman"/>
      <w:lvlText w:val="(%1)"/>
      <w:lvlJc w:val="left"/>
      <w:pPr>
        <w:tabs>
          <w:tab w:val="num" w:pos="0"/>
        </w:tabs>
        <w:ind w:left="1429" w:hanging="720"/>
      </w:pPr>
      <w:rPr>
        <w:rFonts w:ascii="Arial" w:hAnsi="Arial" w:cs="Arial" w:hint="default"/>
        <w:sz w:val="20"/>
        <w:lang w:val="en-GB"/>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sz w:val="20"/>
        <w:szCs w:val="20"/>
        <w:lang w:val="en-GB" w:eastAsia="en-GB"/>
      </w:rPr>
    </w:lvl>
  </w:abstractNum>
  <w:abstractNum w:abstractNumId="15" w15:restartNumberingAfterBreak="0">
    <w:nsid w:val="00000010"/>
    <w:multiLevelType w:val="multilevel"/>
    <w:tmpl w:val="00000010"/>
    <w:name w:val="WW8Num16"/>
    <w:lvl w:ilvl="0">
      <w:start w:val="1"/>
      <w:numFmt w:val="none"/>
      <w:suff w:val="nothing"/>
      <w:lvlText w:val=""/>
      <w:lvlJc w:val="left"/>
      <w:pPr>
        <w:tabs>
          <w:tab w:val="num" w:pos="0"/>
        </w:tabs>
        <w:ind w:left="0" w:firstLine="0"/>
      </w:pPr>
    </w:lvl>
    <w:lvl w:ilvl="1">
      <w:start w:val="1"/>
      <w:numFmt w:val="decimal"/>
      <w:lvlText w:val="%2.0"/>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lowerLetter"/>
      <w:lvlText w:val="%5."/>
      <w:lvlJc w:val="left"/>
      <w:pPr>
        <w:tabs>
          <w:tab w:val="num" w:pos="360"/>
        </w:tabs>
        <w:ind w:left="360" w:hanging="360"/>
      </w:pPr>
    </w:lvl>
    <w:lvl w:ilvl="5">
      <w:start w:val="1"/>
      <w:numFmt w:val="decimal"/>
      <w:lvlText w:val="%6."/>
      <w:lvlJc w:val="left"/>
      <w:pPr>
        <w:tabs>
          <w:tab w:val="num" w:pos="720"/>
        </w:tabs>
        <w:ind w:left="720" w:hanging="360"/>
      </w:pPr>
    </w:lvl>
    <w:lvl w:ilvl="6">
      <w:start w:val="1"/>
      <w:numFmt w:val="lowerLetter"/>
      <w:lvlText w:val="(%7)"/>
      <w:lvlJc w:val="left"/>
      <w:pPr>
        <w:tabs>
          <w:tab w:val="num" w:pos="1080"/>
        </w:tabs>
        <w:ind w:left="1080" w:hanging="360"/>
      </w:pPr>
    </w:lvl>
    <w:lvl w:ilvl="7">
      <w:start w:val="1"/>
      <w:numFmt w:val="lowerRoman"/>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16" w15:restartNumberingAfterBreak="0">
    <w:nsid w:val="00000011"/>
    <w:multiLevelType w:val="singleLevel"/>
    <w:tmpl w:val="00000011"/>
    <w:name w:val="WW8Num17"/>
    <w:lvl w:ilvl="0">
      <w:start w:val="1"/>
      <w:numFmt w:val="lowerRoman"/>
      <w:lvlText w:val="(%1)"/>
      <w:lvlJc w:val="left"/>
      <w:pPr>
        <w:tabs>
          <w:tab w:val="num" w:pos="0"/>
        </w:tabs>
        <w:ind w:left="1429" w:hanging="720"/>
      </w:pPr>
      <w:rPr>
        <w:rFonts w:ascii="Arial" w:hAnsi="Arial" w:cs="Arial" w:hint="default"/>
        <w:sz w:val="20"/>
        <w:lang w:val="en-GB"/>
      </w:rPr>
    </w:lvl>
  </w:abstractNum>
  <w:abstractNum w:abstractNumId="17" w15:restartNumberingAfterBreak="0">
    <w:nsid w:val="00000012"/>
    <w:multiLevelType w:val="multilevel"/>
    <w:tmpl w:val="00000012"/>
    <w:name w:val="WW8Num18"/>
    <w:lvl w:ilvl="0">
      <w:start w:val="1"/>
      <w:numFmt w:val="none"/>
      <w:suff w:val="nothing"/>
      <w:lvlText w:val=""/>
      <w:lvlJc w:val="left"/>
      <w:pPr>
        <w:tabs>
          <w:tab w:val="num" w:pos="0"/>
        </w:tabs>
        <w:ind w:left="0" w:firstLine="0"/>
      </w:pPr>
    </w:lvl>
    <w:lvl w:ilvl="1">
      <w:start w:val="1"/>
      <w:numFmt w:val="decimal"/>
      <w:suff w:val="nothing"/>
      <w:lvlText w:val="Activity %2 - "/>
      <w:lvlJc w:val="left"/>
      <w:pPr>
        <w:tabs>
          <w:tab w:val="num" w:pos="0"/>
        </w:tabs>
        <w:ind w:left="0" w:firstLine="0"/>
      </w:pPr>
      <w:rPr>
        <w:u w:val="single"/>
      </w:rPr>
    </w:lvl>
    <w:lvl w:ilvl="2">
      <w:start w:val="1"/>
      <w:numFmt w:val="decimal"/>
      <w:suff w:val="space"/>
      <w:lvlText w:val="Task %3 -"/>
      <w:lvlJc w:val="left"/>
      <w:pPr>
        <w:tabs>
          <w:tab w:val="num" w:pos="0"/>
        </w:tabs>
        <w:ind w:left="72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1080"/>
        </w:tabs>
        <w:ind w:left="1080" w:hanging="360"/>
      </w:pPr>
    </w:lvl>
    <w:lvl w:ilvl="5">
      <w:start w:val="1"/>
      <w:numFmt w:val="lowerRoman"/>
      <w:lvlText w:val="(%6)"/>
      <w:lvlJc w:val="left"/>
      <w:pPr>
        <w:tabs>
          <w:tab w:val="num" w:pos="1440"/>
        </w:tabs>
        <w:ind w:left="144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556BD5"/>
    <w:multiLevelType w:val="hybridMultilevel"/>
    <w:tmpl w:val="626075DC"/>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22E9334">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2A5E2C"/>
    <w:multiLevelType w:val="hybridMultilevel"/>
    <w:tmpl w:val="0F1E4A0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880425"/>
    <w:multiLevelType w:val="hybridMultilevel"/>
    <w:tmpl w:val="FE0A5870"/>
    <w:lvl w:ilvl="0" w:tplc="3364CBF6">
      <w:start w:val="1"/>
      <w:numFmt w:val="decimal"/>
      <w:pStyle w:val="NormalNumbered"/>
      <w:lvlText w:val="%1."/>
      <w:lvlJc w:val="left"/>
      <w:pPr>
        <w:ind w:left="36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303A9376">
      <w:start w:val="1"/>
      <w:numFmt w:val="lowerLetter"/>
      <w:lvlText w:val="%2"/>
      <w:lvlJc w:val="left"/>
      <w:pPr>
        <w:ind w:left="1080"/>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B8140B"/>
    <w:multiLevelType w:val="hybridMultilevel"/>
    <w:tmpl w:val="20D60C94"/>
    <w:lvl w:ilvl="0" w:tplc="EF82DD66">
      <w:start w:val="1"/>
      <w:numFmt w:val="lowerLetter"/>
      <w:lvlText w:val="%1."/>
      <w:lvlJc w:val="left"/>
      <w:pPr>
        <w:ind w:left="814"/>
      </w:pPr>
      <w:rPr>
        <w:rFonts w:ascii="Arial" w:eastAsia="Verdana"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23"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78C"/>
    <w:rsid w:val="0006378C"/>
    <w:rsid w:val="000C63DA"/>
    <w:rsid w:val="001E5552"/>
    <w:rsid w:val="007E3D5F"/>
    <w:rsid w:val="009C19B6"/>
    <w:rsid w:val="00B26878"/>
    <w:rsid w:val="00D92440"/>
    <w:rsid w:val="00EB5620"/>
    <w:rsid w:val="00FA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1FB69F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de-DE" w:eastAsia="zh-CN"/>
    </w:rPr>
  </w:style>
  <w:style w:type="paragraph" w:styleId="Heading1">
    <w:name w:val="heading 1"/>
    <w:basedOn w:val="Normal"/>
    <w:next w:val="Normal"/>
    <w:qFormat/>
    <w:pPr>
      <w:keepNext/>
      <w:numPr>
        <w:numId w:val="1"/>
      </w:numPr>
      <w:ind w:left="360" w:hanging="360"/>
      <w:jc w:val="both"/>
      <w:outlineLvl w:val="0"/>
    </w:pPr>
    <w:rPr>
      <w:b/>
      <w:bCs/>
      <w:sz w:val="32"/>
      <w:u w:val="single"/>
      <w:lang w:val="en-GB"/>
    </w:rPr>
  </w:style>
  <w:style w:type="paragraph" w:styleId="Heading2">
    <w:name w:val="heading 2"/>
    <w:basedOn w:val="Normal"/>
    <w:next w:val="Normal"/>
    <w:qFormat/>
    <w:pPr>
      <w:keepNext/>
      <w:numPr>
        <w:ilvl w:val="1"/>
        <w:numId w:val="1"/>
      </w:numPr>
      <w:tabs>
        <w:tab w:val="left" w:pos="1065"/>
      </w:tabs>
      <w:spacing w:before="120"/>
      <w:jc w:val="both"/>
      <w:outlineLvl w:val="1"/>
    </w:pPr>
    <w:rPr>
      <w:b/>
      <w:bCs/>
      <w:sz w:val="18"/>
      <w:lang w:val="en-GB"/>
    </w:rPr>
  </w:style>
  <w:style w:type="paragraph" w:styleId="Heading3">
    <w:name w:val="heading 3"/>
    <w:basedOn w:val="Normal"/>
    <w:next w:val="Normal"/>
    <w:qFormat/>
    <w:pPr>
      <w:keepNext/>
      <w:numPr>
        <w:ilvl w:val="2"/>
        <w:numId w:val="1"/>
      </w:numPr>
      <w:spacing w:line="360" w:lineRule="auto"/>
      <w:ind w:left="360"/>
      <w:jc w:val="both"/>
      <w:outlineLvl w:val="2"/>
    </w:pPr>
    <w:rPr>
      <w:b/>
      <w:bCs/>
      <w:u w:val="single"/>
      <w:lang w:val="en-GB"/>
    </w:rPr>
  </w:style>
  <w:style w:type="paragraph" w:styleId="Heading4">
    <w:name w:val="heading 4"/>
    <w:basedOn w:val="Normal"/>
    <w:next w:val="Normal"/>
    <w:qFormat/>
    <w:pPr>
      <w:keepNext/>
      <w:numPr>
        <w:ilvl w:val="3"/>
        <w:numId w:val="1"/>
      </w:numPr>
      <w:tabs>
        <w:tab w:val="left" w:pos="1065"/>
      </w:tabs>
      <w:spacing w:before="120"/>
      <w:jc w:val="both"/>
      <w:outlineLvl w:val="3"/>
    </w:pPr>
    <w:rPr>
      <w:rFonts w:ascii="Trebuchet MS" w:hAnsi="Trebuchet MS" w:cs="Trebuchet MS"/>
      <w:sz w:val="18"/>
      <w:lang w:val="en-GB"/>
    </w:rPr>
  </w:style>
  <w:style w:type="paragraph" w:styleId="Heading5">
    <w:name w:val="heading 5"/>
    <w:basedOn w:val="Normal"/>
    <w:next w:val="Normal"/>
    <w:qFormat/>
    <w:pPr>
      <w:keepNext/>
      <w:numPr>
        <w:ilvl w:val="4"/>
        <w:numId w:val="1"/>
      </w:numPr>
      <w:outlineLvl w:val="4"/>
    </w:pPr>
    <w:rPr>
      <w:rFonts w:ascii="Trebuchet MS" w:hAnsi="Trebuchet MS" w:cs="Trebuchet MS"/>
      <w:sz w:val="18"/>
      <w:u w:val="single"/>
      <w:lang w:val="en-GB"/>
    </w:rPr>
  </w:style>
  <w:style w:type="paragraph" w:styleId="Heading6">
    <w:name w:val="heading 6"/>
    <w:basedOn w:val="Normal"/>
    <w:next w:val="Normal"/>
    <w:qFormat/>
    <w:pPr>
      <w:keepNext/>
      <w:numPr>
        <w:ilvl w:val="5"/>
        <w:numId w:val="1"/>
      </w:numPr>
      <w:spacing w:before="120" w:after="120" w:line="360" w:lineRule="auto"/>
      <w:outlineLvl w:val="5"/>
    </w:pPr>
    <w:rPr>
      <w:rFonts w:ascii="Verdana" w:hAnsi="Verdana" w:cs="Verdana"/>
      <w:b/>
      <w:bCs/>
      <w:sz w:val="20"/>
      <w:lang w:val="en-GB"/>
    </w:rPr>
  </w:style>
  <w:style w:type="paragraph" w:styleId="Heading7">
    <w:name w:val="heading 7"/>
    <w:basedOn w:val="Normal"/>
    <w:next w:val="Normal"/>
    <w:qFormat/>
    <w:pPr>
      <w:keepNext/>
      <w:numPr>
        <w:ilvl w:val="6"/>
        <w:numId w:val="1"/>
      </w:numPr>
      <w:spacing w:line="360" w:lineRule="auto"/>
      <w:jc w:val="both"/>
      <w:outlineLvl w:val="6"/>
    </w:pPr>
    <w:rPr>
      <w:b/>
      <w:bCs/>
      <w:u w:val="single"/>
      <w:lang w:val="en-GB"/>
    </w:rPr>
  </w:style>
  <w:style w:type="paragraph" w:styleId="Heading8">
    <w:name w:val="heading 8"/>
    <w:basedOn w:val="Normal"/>
    <w:next w:val="Normal"/>
    <w:qFormat/>
    <w:pPr>
      <w:keepNext/>
      <w:numPr>
        <w:ilvl w:val="7"/>
        <w:numId w:val="1"/>
      </w:numPr>
      <w:tabs>
        <w:tab w:val="left" w:pos="720"/>
        <w:tab w:val="left" w:pos="2876"/>
        <w:tab w:val="left" w:pos="9174"/>
      </w:tabs>
      <w:spacing w:before="120" w:after="120" w:line="360" w:lineRule="auto"/>
      <w:ind w:left="720" w:hanging="720"/>
      <w:outlineLvl w:val="7"/>
    </w:pPr>
    <w:rPr>
      <w:rFonts w:ascii="Trebuchet MS" w:hAnsi="Trebuchet MS" w:cs="Arial"/>
      <w:b/>
      <w:bCs/>
      <w:sz w:val="20"/>
      <w:szCs w:val="20"/>
    </w:rPr>
  </w:style>
  <w:style w:type="paragraph" w:styleId="Heading9">
    <w:name w:val="heading 9"/>
    <w:basedOn w:val="Normal"/>
    <w:next w:val="Normal"/>
    <w:qFormat/>
    <w:pPr>
      <w:keepNext/>
      <w:numPr>
        <w:ilvl w:val="8"/>
        <w:numId w:val="1"/>
      </w:numPr>
      <w:tabs>
        <w:tab w:val="left" w:pos="720"/>
        <w:tab w:val="left" w:pos="1065"/>
      </w:tabs>
      <w:spacing w:before="120" w:after="120"/>
      <w:ind w:left="720" w:hanging="720"/>
      <w:jc w:val="both"/>
      <w:outlineLvl w:val="8"/>
    </w:pPr>
    <w:rPr>
      <w:rFonts w:ascii="Trebuchet MS" w:hAnsi="Trebuchet MS" w:cs="Trebuchet MS"/>
      <w:b/>
      <w:bCs/>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84887"/>
    </w:rPr>
  </w:style>
  <w:style w:type="character" w:customStyle="1" w:styleId="WW8Num3z0">
    <w:name w:val="WW8Num3z0"/>
    <w:rPr>
      <w:rFonts w:ascii="Symbol" w:hAnsi="Symbol" w:cs="Symbol" w:hint="default"/>
    </w:rPr>
  </w:style>
  <w:style w:type="character" w:customStyle="1" w:styleId="WW8Num4z0">
    <w:name w:val="WW8Num4z0"/>
    <w:rPr>
      <w:rFonts w:ascii="Arial" w:hAnsi="Arial" w:cs="Arial" w:hint="default"/>
      <w:sz w:val="20"/>
      <w:lang w:val="en-GB"/>
    </w:rPr>
  </w:style>
  <w:style w:type="character" w:customStyle="1" w:styleId="WW8Num5z0">
    <w:name w:val="WW8Num5z0"/>
    <w:rPr>
      <w:rFonts w:ascii="Calibri" w:hAnsi="Calibri" w:cs="Arial"/>
      <w:b/>
      <w:i w:val="0"/>
      <w:caps w:val="0"/>
      <w:smallCaps w:val="0"/>
      <w:strike w:val="0"/>
      <w:dstrike w:val="0"/>
      <w:vanish w:val="0"/>
      <w:color w:val="auto"/>
      <w:position w:val="0"/>
      <w:sz w:val="20"/>
      <w:u w:val="none"/>
      <w:vertAlign w:val="baseline"/>
    </w:rPr>
  </w:style>
  <w:style w:type="character" w:customStyle="1" w:styleId="WW8Num5z1">
    <w:name w:val="WW8Num5z1"/>
    <w:rPr>
      <w:rFonts w:ascii="Calibri" w:hAnsi="Calibri" w:cs="Arial"/>
      <w:b w:val="0"/>
      <w:i w:val="0"/>
      <w:caps w:val="0"/>
      <w:smallCaps w:val="0"/>
      <w:strike w:val="0"/>
      <w:dstrike w:val="0"/>
      <w:vanish w:val="0"/>
      <w:color w:val="auto"/>
      <w:position w:val="0"/>
      <w:sz w:val="20"/>
      <w:u w:val="none"/>
      <w:vertAlign w:val="baseline"/>
    </w:rPr>
  </w:style>
  <w:style w:type="character" w:customStyle="1" w:styleId="WW8Num5z3">
    <w:name w:val="WW8Num5z3"/>
    <w:rPr>
      <w:rFonts w:ascii="Calibri" w:hAnsi="Calibri" w:cs="Calibri" w:hint="default"/>
      <w:b w:val="0"/>
      <w:i w:val="0"/>
      <w:caps w:val="0"/>
      <w:smallCaps w:val="0"/>
      <w:strike w:val="0"/>
      <w:dstrike w:val="0"/>
      <w:vanish w:val="0"/>
      <w:color w:val="auto"/>
      <w:position w:val="0"/>
      <w:sz w:val="20"/>
      <w:szCs w:val="20"/>
      <w:u w:val="none"/>
      <w:vertAlign w:val="baseline"/>
    </w:rPr>
  </w:style>
  <w:style w:type="character" w:customStyle="1" w:styleId="WW8Num5z4">
    <w:name w:val="WW8Num5z4"/>
    <w:rPr>
      <w:rFonts w:ascii="Arial" w:hAnsi="Arial" w:cs="Arial"/>
      <w:b w:val="0"/>
      <w:i w:val="0"/>
      <w:caps w:val="0"/>
      <w:smallCaps w:val="0"/>
      <w:strike w:val="0"/>
      <w:dstrike w:val="0"/>
      <w:vanish w:val="0"/>
      <w:color w:val="auto"/>
      <w:position w:val="0"/>
      <w:sz w:val="22"/>
      <w:u w:val="none"/>
      <w:vertAlign w:val="baseline"/>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szCs w:val="20"/>
    </w:rPr>
  </w:style>
  <w:style w:type="character" w:customStyle="1" w:styleId="WW8Num7z0">
    <w:name w:val="WW8Num7z0"/>
    <w:rPr>
      <w:rFonts w:ascii="Symbol" w:hAnsi="Symbol" w:cs="Symbol" w:hint="default"/>
      <w:szCs w:val="20"/>
    </w:rPr>
  </w:style>
  <w:style w:type="character" w:customStyle="1" w:styleId="WW8Num8z0">
    <w:name w:val="WW8Num8z0"/>
    <w:rPr>
      <w:rFonts w:ascii="Symbol" w:hAnsi="Symbol" w:cs="Symbol" w:hint="default"/>
      <w:szCs w:val="20"/>
      <w:lang w:eastAsia="en-GB"/>
    </w:rPr>
  </w:style>
  <w:style w:type="character" w:customStyle="1" w:styleId="WW8Num9z0">
    <w:name w:val="WW8Num9z0"/>
    <w:rPr>
      <w:rFonts w:ascii="Symbol" w:hAnsi="Symbol" w:cs="Symbol" w:hint="default"/>
      <w:szCs w:val="20"/>
    </w:rPr>
  </w:style>
  <w:style w:type="character" w:customStyle="1" w:styleId="WW8Num10z0">
    <w:name w:val="WW8Num10z0"/>
    <w:rPr>
      <w:rFonts w:ascii="Arial" w:hAnsi="Arial" w:cs="Arial" w:hint="default"/>
      <w:b/>
      <w:sz w:val="20"/>
      <w:szCs w:val="20"/>
      <w:u w:val="none"/>
      <w:lang w:val="en-GB"/>
    </w:rPr>
  </w:style>
  <w:style w:type="character" w:customStyle="1" w:styleId="WW8Num10z1">
    <w:name w:val="WW8Num10z1"/>
    <w:rPr>
      <w:rFonts w:ascii="Arial" w:eastAsia="Calibri" w:hAnsi="Arial" w:cs="Arial" w:hint="default"/>
      <w:b w:val="0"/>
      <w:sz w:val="20"/>
      <w:szCs w:val="20"/>
      <w:u w:val="none"/>
      <w:lang w:val="en-GB" w:eastAsia="en-US"/>
    </w:rPr>
  </w:style>
  <w:style w:type="character" w:customStyle="1" w:styleId="WW8Num10z2">
    <w:name w:val="WW8Num10z2"/>
    <w:rPr>
      <w:rFonts w:hint="default"/>
      <w:b/>
      <w:u w:val="single"/>
    </w:rPr>
  </w:style>
  <w:style w:type="character" w:customStyle="1" w:styleId="WW8Num11z0">
    <w:name w:val="WW8Num11z0"/>
    <w:rPr>
      <w:rFonts w:ascii="Arial" w:hAnsi="Arial" w:cs="Arial" w:hint="default"/>
      <w:b/>
      <w:bCs/>
      <w:i w:val="0"/>
      <w:iCs w:val="0"/>
      <w:caps w:val="0"/>
      <w:smallCaps w:val="0"/>
      <w:strike w:val="0"/>
      <w:dstrike w:val="0"/>
      <w:outline w:val="0"/>
      <w:shadow w:val="0"/>
      <w:color w:val="auto"/>
      <w:spacing w:val="0"/>
      <w:w w:val="100"/>
      <w:kern w:val="0"/>
      <w:position w:val="0"/>
      <w:sz w:val="22"/>
      <w:u w:val="none"/>
      <w:shd w:val="clear" w:color="auto" w:fill="auto"/>
      <w:vertAlign w:val="baseline"/>
      <w:em w:val="none"/>
    </w:rPr>
  </w:style>
  <w:style w:type="character" w:customStyle="1" w:styleId="WW8Num11z1">
    <w:name w:val="WW8Num11z1"/>
    <w:rPr>
      <w:rFonts w:ascii="Arial" w:hAnsi="Arial" w:cs="Arial" w:hint="default"/>
      <w:b w:val="0"/>
      <w:i w:val="0"/>
      <w:sz w:val="22"/>
    </w:rPr>
  </w:style>
  <w:style w:type="character" w:customStyle="1" w:styleId="WW8Num11z2">
    <w:name w:val="WW8Num11z2"/>
    <w:rPr>
      <w:b/>
    </w:rPr>
  </w:style>
  <w:style w:type="character" w:customStyle="1" w:styleId="WW8Num11z3">
    <w:name w:val="WW8Num11z3"/>
    <w:rPr>
      <w:rFonts w:ascii="Arial" w:hAnsi="Arial" w:cs="Arial" w:hint="default"/>
      <w:b w:val="0"/>
      <w:bCs w:val="0"/>
      <w:i w:val="0"/>
      <w:iCs w:val="0"/>
      <w:caps w:val="0"/>
      <w:smallCaps w:val="0"/>
      <w:strike w:val="0"/>
      <w:dstrike w:val="0"/>
      <w:outline w:val="0"/>
      <w:shadow w:val="0"/>
      <w:color w:val="auto"/>
      <w:spacing w:val="0"/>
      <w:w w:val="100"/>
      <w:kern w:val="0"/>
      <w:position w:val="0"/>
      <w:sz w:val="22"/>
      <w:u w:val="none"/>
      <w:shd w:val="clear" w:color="auto" w:fill="auto"/>
      <w:vertAlign w:val="baseline"/>
      <w:em w:val="none"/>
    </w:rPr>
  </w:style>
  <w:style w:type="character" w:customStyle="1" w:styleId="WW8Num11z4">
    <w:name w:val="WW8Num11z4"/>
    <w:rPr>
      <w:rFonts w:ascii="Times New Roman" w:hAnsi="Times New Roman" w:cs="Times New Roman" w:hint="default"/>
      <w:b w:val="0"/>
      <w:i w:val="0"/>
      <w:sz w:val="22"/>
    </w:rPr>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ascii="Arial" w:hAnsi="Arial" w:cs="Arial" w:hint="default"/>
      <w:sz w:val="20"/>
      <w:lang w:val="en-GB"/>
    </w:rPr>
  </w:style>
  <w:style w:type="character" w:customStyle="1" w:styleId="WW8Num15z0">
    <w:name w:val="WW8Num15z0"/>
    <w:rPr>
      <w:rFonts w:ascii="Symbol" w:hAnsi="Symbol" w:cs="Symbol" w:hint="default"/>
      <w:sz w:val="20"/>
      <w:szCs w:val="20"/>
      <w:lang w:val="en-GB" w:eastAsia="en-GB"/>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sz w:val="20"/>
      <w:lang w:val="en-GB"/>
    </w:rPr>
  </w:style>
  <w:style w:type="character" w:customStyle="1" w:styleId="WW8Num18z0">
    <w:name w:val="WW8Num18z0"/>
  </w:style>
  <w:style w:type="character" w:customStyle="1" w:styleId="WW8Num18z1">
    <w:name w:val="WW8Num18z1"/>
    <w:rPr>
      <w:u w:val="single"/>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Absatz-Standardschriftart2">
    <w:name w:val="Absatz-Standardschriftart2"/>
  </w:style>
  <w:style w:type="character" w:customStyle="1" w:styleId="WW8Num2z1">
    <w:name w:val="WW8Num2z1"/>
    <w:rPr>
      <w:rFonts w:hint="default"/>
      <w:lang w:val="en-US" w:bidi="ar-SA"/>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hint="default"/>
      <w:lang w:val="en-US" w:bidi="ar-SA"/>
    </w:rPr>
  </w:style>
  <w:style w:type="character" w:customStyle="1" w:styleId="WW8Num6z1">
    <w:name w:val="WW8Num6z1"/>
    <w:rPr>
      <w:rFonts w:hint="default"/>
      <w:lang w:val="en-US" w:bidi="ar-SA"/>
    </w:rPr>
  </w:style>
  <w:style w:type="character" w:customStyle="1" w:styleId="WW8Num7z1">
    <w:name w:val="WW8Num7z1"/>
    <w:rPr>
      <w:rFonts w:hint="default"/>
      <w:lang w:val="en-US" w:bidi="ar-SA"/>
    </w:rPr>
  </w:style>
  <w:style w:type="character" w:customStyle="1" w:styleId="WW8Num8z1">
    <w:name w:val="WW8Num8z1"/>
    <w:rPr>
      <w:rFonts w:hint="default"/>
      <w:lang w:val="en-US" w:bidi="ar-SA"/>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rPr>
      <w:rFonts w:ascii="Cambria" w:eastAsia="Cambria" w:hAnsi="Cambria" w:cs="Cambria" w:hint="default"/>
      <w:b w:val="0"/>
      <w:bCs w:val="0"/>
      <w:i w:val="0"/>
      <w:iCs w:val="0"/>
      <w:w w:val="74"/>
      <w:sz w:val="19"/>
      <w:szCs w:val="19"/>
      <w:lang w:val="en-US" w:bidi="ar-SA"/>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3z1">
    <w:name w:val="WW8Num13z1"/>
    <w:rPr>
      <w:rFonts w:ascii="Cambria" w:eastAsia="Cambria" w:hAnsi="Cambria" w:cs="Cambria" w:hint="default"/>
      <w:b w:val="0"/>
      <w:bCs w:val="0"/>
      <w:i w:val="0"/>
      <w:iCs w:val="0"/>
      <w:w w:val="74"/>
      <w:sz w:val="19"/>
      <w:szCs w:val="19"/>
      <w:lang w:val="en-US" w:bidi="ar-SA"/>
    </w:rPr>
  </w:style>
  <w:style w:type="character" w:customStyle="1" w:styleId="WW8Num13z2">
    <w:name w:val="WW8Num13z2"/>
    <w:rPr>
      <w:rFonts w:hint="default"/>
      <w:lang w:val="en-US" w:bidi="ar-SA"/>
    </w:rPr>
  </w:style>
  <w:style w:type="character" w:customStyle="1" w:styleId="WW8Num14z1">
    <w:name w:val="WW8Num14z1"/>
    <w:rPr>
      <w:rFonts w:ascii="Cambria" w:eastAsia="Cambria" w:hAnsi="Cambria" w:cs="Cambria" w:hint="default"/>
      <w:b w:val="0"/>
      <w:bCs w:val="0"/>
      <w:i w:val="0"/>
      <w:iCs w:val="0"/>
      <w:w w:val="74"/>
      <w:sz w:val="19"/>
      <w:szCs w:val="19"/>
      <w:lang w:val="en-US" w:bidi="ar-SA"/>
    </w:rPr>
  </w:style>
  <w:style w:type="character" w:customStyle="1" w:styleId="WW8Num14z2">
    <w:name w:val="WW8Num14z2"/>
    <w:rPr>
      <w:rFonts w:hint="default"/>
      <w:lang w:val="en-US" w:bidi="ar-SA"/>
    </w:rPr>
  </w:style>
  <w:style w:type="character" w:customStyle="1" w:styleId="WW8Num15z1">
    <w:name w:val="WW8Num15z1"/>
    <w:rPr>
      <w:rFonts w:hint="default"/>
      <w:lang w:val="en-US" w:bidi="ar-S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0">
    <w:name w:val="WW8Num19z0"/>
    <w:rPr>
      <w:rFonts w:ascii="Symbol" w:hAnsi="Symbol" w:cs="Symbol" w:hint="default"/>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lang w:val="en-US" w:bidi="ar-SA"/>
    </w:rPr>
  </w:style>
  <w:style w:type="character" w:customStyle="1" w:styleId="WW8Num20z1">
    <w:name w:val="WW8Num20z1"/>
    <w:rPr>
      <w:rFonts w:ascii="Cambria" w:eastAsia="Cambria" w:hAnsi="Cambria" w:cs="Cambria" w:hint="default"/>
      <w:b/>
      <w:bCs/>
      <w:i w:val="0"/>
      <w:iCs w:val="0"/>
      <w:w w:val="98"/>
      <w:sz w:val="19"/>
      <w:szCs w:val="19"/>
      <w:lang w:val="en-US" w:bidi="ar-SA"/>
    </w:rPr>
  </w:style>
  <w:style w:type="character" w:customStyle="1" w:styleId="WW8Num20z2">
    <w:name w:val="WW8Num20z2"/>
    <w:rPr>
      <w:rFonts w:ascii="Arial" w:eastAsia="Cambria" w:hAnsi="Arial" w:cs="Arial" w:hint="default"/>
      <w:b w:val="0"/>
      <w:bCs w:val="0"/>
      <w:i w:val="0"/>
      <w:iCs w:val="0"/>
      <w:w w:val="76"/>
      <w:sz w:val="20"/>
      <w:szCs w:val="20"/>
      <w:lang w:val="en-US" w:bidi="ar-SA"/>
    </w:rPr>
  </w:style>
  <w:style w:type="character" w:customStyle="1" w:styleId="WW8Num21z0">
    <w:name w:val="WW8Num21z0"/>
    <w:rPr>
      <w:rFonts w:ascii="Cambria" w:eastAsia="Cambria" w:hAnsi="Cambria" w:cs="Cambria" w:hint="default"/>
      <w:b w:val="0"/>
      <w:bCs w:val="0"/>
      <w:i w:val="0"/>
      <w:iCs w:val="0"/>
      <w:w w:val="76"/>
      <w:sz w:val="19"/>
      <w:szCs w:val="19"/>
      <w:lang w:val="en-US" w:bidi="ar-SA"/>
    </w:rPr>
  </w:style>
  <w:style w:type="character" w:customStyle="1" w:styleId="WW8Num21z1">
    <w:name w:val="WW8Num21z1"/>
    <w:rPr>
      <w:rFonts w:hint="default"/>
      <w:lang w:val="en-US" w:bidi="ar-SA"/>
    </w:rPr>
  </w:style>
  <w:style w:type="character" w:customStyle="1" w:styleId="WW8Num22z0">
    <w:name w:val="WW8Num22z0"/>
    <w:rPr>
      <w:rFonts w:hint="default"/>
      <w:lang w:val="en-US" w:bidi="ar-SA"/>
    </w:rPr>
  </w:style>
  <w:style w:type="character" w:customStyle="1" w:styleId="WW8Num22z1">
    <w:name w:val="WW8Num22z1"/>
    <w:rPr>
      <w:rFonts w:ascii="Cambria" w:eastAsia="Cambria" w:hAnsi="Cambria" w:cs="Cambria" w:hint="default"/>
      <w:b/>
      <w:bCs/>
      <w:i w:val="0"/>
      <w:iCs w:val="0"/>
      <w:w w:val="98"/>
      <w:sz w:val="19"/>
      <w:szCs w:val="19"/>
      <w:lang w:val="en-US" w:bidi="ar-SA"/>
    </w:rPr>
  </w:style>
  <w:style w:type="character" w:customStyle="1" w:styleId="WW8Num22z2">
    <w:name w:val="WW8Num22z2"/>
    <w:rPr>
      <w:rFonts w:ascii="Cambria" w:eastAsia="Cambria" w:hAnsi="Cambria" w:cs="Cambria" w:hint="default"/>
      <w:b w:val="0"/>
      <w:bCs w:val="0"/>
      <w:i w:val="0"/>
      <w:iCs w:val="0"/>
      <w:w w:val="76"/>
      <w:sz w:val="19"/>
      <w:szCs w:val="19"/>
      <w:lang w:val="en-US" w:bidi="ar-SA"/>
    </w:rPr>
  </w:style>
  <w:style w:type="character" w:customStyle="1" w:styleId="WW8Num22z3">
    <w:name w:val="WW8Num22z3"/>
    <w:rPr>
      <w:rFonts w:ascii="Cambria" w:eastAsia="Cambria" w:hAnsi="Cambria" w:cs="Cambria" w:hint="default"/>
      <w:b w:val="0"/>
      <w:bCs w:val="0"/>
      <w:i w:val="0"/>
      <w:iCs w:val="0"/>
      <w:w w:val="74"/>
      <w:sz w:val="19"/>
      <w:szCs w:val="19"/>
      <w:lang w:val="en-US" w:bidi="ar-SA"/>
    </w:rPr>
  </w:style>
  <w:style w:type="character" w:customStyle="1" w:styleId="WW8Num23z0">
    <w:name w:val="WW8Num23z0"/>
    <w:rPr>
      <w:rFonts w:ascii="Cambria" w:eastAsia="Cambria" w:hAnsi="Cambria" w:cs="Cambria" w:hint="default"/>
      <w:b w:val="0"/>
      <w:bCs w:val="0"/>
      <w:i w:val="0"/>
      <w:iCs w:val="0"/>
      <w:w w:val="76"/>
      <w:sz w:val="19"/>
      <w:szCs w:val="19"/>
      <w:lang w:val="en-US" w:bidi="ar-SA"/>
    </w:rPr>
  </w:style>
  <w:style w:type="character" w:customStyle="1" w:styleId="WW8Num23z1">
    <w:name w:val="WW8Num23z1"/>
    <w:rPr>
      <w:rFonts w:hint="default"/>
      <w:lang w:val="en-US" w:bidi="ar-SA"/>
    </w:rPr>
  </w:style>
  <w:style w:type="character" w:customStyle="1" w:styleId="WW8Num24z0">
    <w:name w:val="WW8Num24z0"/>
    <w:rPr>
      <w:rFonts w:ascii="Cambria" w:eastAsia="Cambria" w:hAnsi="Cambria" w:cs="Cambria" w:hint="default"/>
      <w:b w:val="0"/>
      <w:bCs w:val="0"/>
      <w:i w:val="0"/>
      <w:iCs w:val="0"/>
      <w:w w:val="76"/>
      <w:sz w:val="19"/>
      <w:szCs w:val="19"/>
      <w:lang w:val="en-US" w:bidi="ar-SA"/>
    </w:rPr>
  </w:style>
  <w:style w:type="character" w:customStyle="1" w:styleId="WW8Num24z1">
    <w:name w:val="WW8Num24z1"/>
    <w:rPr>
      <w:rFonts w:hint="default"/>
      <w:lang w:val="en-US" w:bidi="ar-SA"/>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Cs w:val="20"/>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Arial" w:hAnsi="Arial" w:cs="Arial" w:hint="default"/>
      <w:b/>
      <w:sz w:val="20"/>
      <w:szCs w:val="20"/>
      <w:u w:val="none"/>
      <w:lang w:val="en-GB"/>
    </w:rPr>
  </w:style>
  <w:style w:type="character" w:customStyle="1" w:styleId="WW8Num27z1">
    <w:name w:val="WW8Num27z1"/>
    <w:rPr>
      <w:rFonts w:ascii="Arial" w:hAnsi="Arial" w:cs="Arial" w:hint="default"/>
      <w:b w:val="0"/>
      <w:sz w:val="20"/>
      <w:szCs w:val="20"/>
      <w:u w:val="none"/>
      <w:lang w:val="en-GB"/>
    </w:rPr>
  </w:style>
  <w:style w:type="character" w:customStyle="1" w:styleId="WW8Num27z2">
    <w:name w:val="WW8Num27z2"/>
    <w:rPr>
      <w:rFonts w:hint="default"/>
      <w:b/>
      <w:u w:val="single"/>
    </w:rPr>
  </w:style>
  <w:style w:type="character" w:customStyle="1" w:styleId="WW8Num28z0">
    <w:name w:val="WW8Num28z0"/>
    <w:rPr>
      <w:rFonts w:hint="default"/>
      <w:sz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lang w:val="en-US" w:bidi="ar-SA"/>
    </w:rPr>
  </w:style>
  <w:style w:type="character" w:customStyle="1" w:styleId="WW8Num30z1">
    <w:name w:val="WW8Num30z1"/>
    <w:rPr>
      <w:rFonts w:ascii="Cambria" w:eastAsia="Cambria" w:hAnsi="Cambria" w:cs="Cambria" w:hint="default"/>
      <w:b/>
      <w:bCs/>
      <w:i w:val="0"/>
      <w:iCs w:val="0"/>
      <w:w w:val="98"/>
      <w:sz w:val="19"/>
      <w:szCs w:val="19"/>
      <w:lang w:val="en-US" w:bidi="ar-SA"/>
    </w:rPr>
  </w:style>
  <w:style w:type="character" w:customStyle="1" w:styleId="WW8Num30z2">
    <w:name w:val="WW8Num30z2"/>
    <w:rPr>
      <w:rFonts w:ascii="Cambria" w:eastAsia="Cambria" w:hAnsi="Cambria" w:cs="Cambria" w:hint="default"/>
      <w:b w:val="0"/>
      <w:bCs w:val="0"/>
      <w:i w:val="0"/>
      <w:iCs w:val="0"/>
      <w:w w:val="76"/>
      <w:sz w:val="19"/>
      <w:szCs w:val="19"/>
      <w:lang w:val="en-US" w:bidi="ar-SA"/>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bCs/>
      <w:i w:val="0"/>
      <w:iCs w:val="0"/>
      <w:caps w:val="0"/>
      <w:smallCaps w:val="0"/>
      <w:strike w:val="0"/>
      <w:dstrike w:val="0"/>
      <w:outline w:val="0"/>
      <w:shadow w:val="0"/>
      <w:color w:val="auto"/>
      <w:spacing w:val="0"/>
      <w:w w:val="100"/>
      <w:kern w:val="0"/>
      <w:position w:val="0"/>
      <w:sz w:val="22"/>
      <w:u w:val="none"/>
      <w:shd w:val="clear" w:color="auto" w:fill="auto"/>
      <w:vertAlign w:val="baseline"/>
      <w:em w:val="none"/>
    </w:rPr>
  </w:style>
  <w:style w:type="character" w:customStyle="1" w:styleId="WW8Num32z1">
    <w:name w:val="WW8Num32z1"/>
    <w:rPr>
      <w:rFonts w:ascii="Arial" w:hAnsi="Arial" w:cs="Arial" w:hint="default"/>
      <w:b w:val="0"/>
      <w:i w:val="0"/>
      <w:sz w:val="22"/>
    </w:rPr>
  </w:style>
  <w:style w:type="character" w:customStyle="1" w:styleId="WW8Num32z2">
    <w:name w:val="WW8Num32z2"/>
    <w:rPr>
      <w:b/>
    </w:rPr>
  </w:style>
  <w:style w:type="character" w:customStyle="1" w:styleId="WW8Num32z3">
    <w:name w:val="WW8Num32z3"/>
    <w:rPr>
      <w:rFonts w:ascii="Arial" w:hAnsi="Arial" w:cs="Arial" w:hint="default"/>
      <w:b w:val="0"/>
      <w:bCs w:val="0"/>
      <w:i w:val="0"/>
      <w:iCs w:val="0"/>
      <w:caps w:val="0"/>
      <w:smallCaps w:val="0"/>
      <w:strike w:val="0"/>
      <w:dstrike w:val="0"/>
      <w:outline w:val="0"/>
      <w:shadow w:val="0"/>
      <w:color w:val="auto"/>
      <w:spacing w:val="0"/>
      <w:w w:val="100"/>
      <w:kern w:val="0"/>
      <w:position w:val="0"/>
      <w:sz w:val="22"/>
      <w:u w:val="none"/>
      <w:shd w:val="clear" w:color="auto" w:fill="auto"/>
      <w:vertAlign w:val="baseline"/>
      <w:em w:val="none"/>
    </w:rPr>
  </w:style>
  <w:style w:type="character" w:customStyle="1" w:styleId="WW8Num32z4">
    <w:name w:val="WW8Num32z4"/>
    <w:rPr>
      <w:rFonts w:ascii="Times New Roman" w:hAnsi="Times New Roman" w:cs="Times New Roman" w:hint="default"/>
      <w:b w:val="0"/>
      <w:i w:val="0"/>
      <w:sz w:val="22"/>
    </w:rPr>
  </w:style>
  <w:style w:type="character" w:customStyle="1" w:styleId="WW8Num32z8">
    <w:name w:val="WW8Num32z8"/>
  </w:style>
  <w:style w:type="character" w:customStyle="1" w:styleId="WW8Num33z0">
    <w:name w:val="WW8Num33z0"/>
    <w:rPr>
      <w:rFonts w:hint="default"/>
      <w:lang w:val="en-US" w:bidi="ar-SA"/>
    </w:rPr>
  </w:style>
  <w:style w:type="character" w:customStyle="1" w:styleId="WW8Num33z1">
    <w:name w:val="WW8Num33z1"/>
    <w:rPr>
      <w:rFonts w:ascii="Cambria" w:eastAsia="Cambria" w:hAnsi="Cambria" w:cs="Cambria" w:hint="default"/>
      <w:b/>
      <w:bCs/>
      <w:i w:val="0"/>
      <w:iCs w:val="0"/>
      <w:w w:val="98"/>
      <w:sz w:val="19"/>
      <w:szCs w:val="19"/>
      <w:lang w:val="en-US" w:bidi="ar-SA"/>
    </w:rPr>
  </w:style>
  <w:style w:type="character" w:customStyle="1" w:styleId="WW8Num33z2">
    <w:name w:val="WW8Num33z2"/>
    <w:rPr>
      <w:rFonts w:ascii="Cambria" w:eastAsia="Cambria" w:hAnsi="Cambria" w:cs="Cambria" w:hint="default"/>
      <w:b w:val="0"/>
      <w:bCs w:val="0"/>
      <w:i w:val="0"/>
      <w:iCs w:val="0"/>
      <w:w w:val="76"/>
      <w:sz w:val="19"/>
      <w:szCs w:val="19"/>
      <w:lang w:val="en-US" w:bidi="ar-SA"/>
    </w:rPr>
  </w:style>
  <w:style w:type="character" w:customStyle="1" w:styleId="WW8Num34z0">
    <w:name w:val="WW8Num34z0"/>
    <w:rPr>
      <w:rFonts w:ascii="Cambria" w:eastAsia="Cambria" w:hAnsi="Cambria" w:cs="Cambria" w:hint="default"/>
      <w:b w:val="0"/>
      <w:bCs w:val="0"/>
      <w:i w:val="0"/>
      <w:iCs w:val="0"/>
      <w:w w:val="74"/>
      <w:sz w:val="19"/>
      <w:szCs w:val="19"/>
      <w:lang w:val="en-US" w:bidi="ar-SA"/>
    </w:rPr>
  </w:style>
  <w:style w:type="character" w:customStyle="1" w:styleId="WW8Num34z1">
    <w:name w:val="WW8Num34z1"/>
    <w:rPr>
      <w:rFonts w:hint="default"/>
      <w:lang w:val="en-US" w:bidi="ar-SA"/>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mbria" w:eastAsia="Cambria" w:hAnsi="Cambria" w:cs="Cambria" w:hint="default"/>
      <w:b w:val="0"/>
      <w:bCs w:val="0"/>
      <w:i w:val="0"/>
      <w:iCs w:val="0"/>
      <w:w w:val="76"/>
      <w:sz w:val="19"/>
      <w:szCs w:val="19"/>
      <w:lang w:val="en-US" w:bidi="ar-SA"/>
    </w:rPr>
  </w:style>
  <w:style w:type="character" w:customStyle="1" w:styleId="WW8Num36z1">
    <w:name w:val="WW8Num36z1"/>
    <w:rPr>
      <w:rFonts w:ascii="Cambria" w:eastAsia="Cambria" w:hAnsi="Cambria" w:cs="Cambria" w:hint="default"/>
      <w:b w:val="0"/>
      <w:bCs w:val="0"/>
      <w:i w:val="0"/>
      <w:iCs w:val="0"/>
      <w:w w:val="74"/>
      <w:sz w:val="19"/>
      <w:szCs w:val="19"/>
      <w:lang w:val="en-US" w:bidi="ar-SA"/>
    </w:rPr>
  </w:style>
  <w:style w:type="character" w:customStyle="1" w:styleId="WW8Num36z2">
    <w:name w:val="WW8Num36z2"/>
    <w:rPr>
      <w:rFonts w:hint="default"/>
      <w:lang w:val="en-US" w:bidi="ar-SA"/>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lang w:val="en-US" w:bidi="ar-SA"/>
    </w:rPr>
  </w:style>
  <w:style w:type="character" w:customStyle="1" w:styleId="WW8Num38z1">
    <w:name w:val="WW8Num38z1"/>
    <w:rPr>
      <w:rFonts w:ascii="Cambria" w:eastAsia="Cambria" w:hAnsi="Cambria" w:cs="Cambria" w:hint="default"/>
      <w:b/>
      <w:bCs/>
      <w:i w:val="0"/>
      <w:iCs w:val="0"/>
      <w:w w:val="98"/>
      <w:sz w:val="19"/>
      <w:szCs w:val="19"/>
      <w:lang w:val="en-US" w:bidi="ar-SA"/>
    </w:rPr>
  </w:style>
  <w:style w:type="character" w:customStyle="1" w:styleId="WW8Num38z2">
    <w:name w:val="WW8Num38z2"/>
    <w:rPr>
      <w:rFonts w:ascii="Cambria" w:eastAsia="Cambria" w:hAnsi="Cambria" w:cs="Cambria" w:hint="default"/>
      <w:b w:val="0"/>
      <w:bCs w:val="0"/>
      <w:i w:val="0"/>
      <w:iCs w:val="0"/>
      <w:w w:val="76"/>
      <w:sz w:val="19"/>
      <w:szCs w:val="19"/>
      <w:lang w:val="en-US" w:bidi="ar-SA"/>
    </w:rPr>
  </w:style>
  <w:style w:type="character" w:customStyle="1" w:styleId="WW8Num39z0">
    <w:name w:val="WW8Num39z0"/>
    <w:rPr>
      <w:rFonts w:ascii="Arial" w:eastAsia="Cambria" w:hAnsi="Arial" w:cs="Arial" w:hint="default"/>
      <w:b w:val="0"/>
      <w:bCs w:val="0"/>
      <w:i w:val="0"/>
      <w:iCs w:val="0"/>
      <w:w w:val="76"/>
      <w:sz w:val="20"/>
      <w:szCs w:val="20"/>
      <w:lang w:val="en-US" w:bidi="ar-SA"/>
    </w:rPr>
  </w:style>
  <w:style w:type="character" w:customStyle="1" w:styleId="WW8Num39z1">
    <w:name w:val="WW8Num39z1"/>
    <w:rPr>
      <w:rFonts w:hint="default"/>
      <w:lang w:val="en-US" w:bidi="ar-SA"/>
    </w:rPr>
  </w:style>
  <w:style w:type="character" w:customStyle="1" w:styleId="WW8Num40z0">
    <w:name w:val="WW8Num40z0"/>
    <w:rPr>
      <w:rFonts w:ascii="Cambria" w:eastAsia="Cambria" w:hAnsi="Cambria" w:cs="Cambria" w:hint="default"/>
      <w:b w:val="0"/>
      <w:bCs w:val="0"/>
      <w:i w:val="0"/>
      <w:iCs w:val="0"/>
      <w:w w:val="76"/>
      <w:sz w:val="19"/>
      <w:szCs w:val="19"/>
      <w:lang w:val="en-US" w:bidi="ar-SA"/>
    </w:rPr>
  </w:style>
  <w:style w:type="character" w:customStyle="1" w:styleId="WW8Num40z1">
    <w:name w:val="WW8Num40z1"/>
    <w:rPr>
      <w:rFonts w:hint="default"/>
      <w:lang w:val="en-US" w:bidi="ar-SA"/>
    </w:rPr>
  </w:style>
  <w:style w:type="character" w:customStyle="1" w:styleId="WW8Num41z0">
    <w:name w:val="WW8Num41z0"/>
    <w:rPr>
      <w:rFonts w:ascii="Arial" w:eastAsia="Cambria" w:hAnsi="Arial" w:cs="Arial" w:hint="default"/>
      <w:b w:val="0"/>
      <w:bCs w:val="0"/>
      <w:i w:val="0"/>
      <w:iCs w:val="0"/>
      <w:w w:val="76"/>
      <w:sz w:val="20"/>
      <w:szCs w:val="20"/>
      <w:lang w:val="en-US" w:bidi="ar-SA"/>
    </w:rPr>
  </w:style>
  <w:style w:type="character" w:customStyle="1" w:styleId="WW8Num41z1">
    <w:name w:val="WW8Num41z1"/>
    <w:rPr>
      <w:rFonts w:ascii="Cambria" w:eastAsia="Cambria" w:hAnsi="Cambria" w:cs="Cambria" w:hint="default"/>
      <w:b w:val="0"/>
      <w:bCs w:val="0"/>
      <w:i w:val="0"/>
      <w:iCs w:val="0"/>
      <w:w w:val="74"/>
      <w:sz w:val="19"/>
      <w:szCs w:val="19"/>
      <w:lang w:val="en-US" w:bidi="ar-SA"/>
    </w:rPr>
  </w:style>
  <w:style w:type="character" w:customStyle="1" w:styleId="WW8Num41z2">
    <w:name w:val="WW8Num41z2"/>
    <w:rPr>
      <w:rFonts w:hint="default"/>
      <w:lang w:val="en-US" w:bidi="ar-SA"/>
    </w:rPr>
  </w:style>
  <w:style w:type="character" w:customStyle="1" w:styleId="WW8Num42z0">
    <w:name w:val="WW8Num42z0"/>
    <w:rPr>
      <w:rFonts w:hint="default"/>
      <w:lang w:val="en-US" w:bidi="ar-SA"/>
    </w:rPr>
  </w:style>
  <w:style w:type="character" w:customStyle="1" w:styleId="WW8Num42z1">
    <w:name w:val="WW8Num42z1"/>
    <w:rPr>
      <w:rFonts w:ascii="Cambria" w:eastAsia="Cambria" w:hAnsi="Cambria" w:cs="Cambria" w:hint="default"/>
      <w:b/>
      <w:bCs/>
      <w:i w:val="0"/>
      <w:iCs w:val="0"/>
      <w:w w:val="98"/>
      <w:sz w:val="19"/>
      <w:szCs w:val="19"/>
      <w:lang w:val="en-US" w:bidi="ar-SA"/>
    </w:rPr>
  </w:style>
  <w:style w:type="character" w:customStyle="1" w:styleId="WW8Num42z2">
    <w:name w:val="WW8Num42z2"/>
    <w:rPr>
      <w:rFonts w:ascii="Cambria" w:eastAsia="Cambria" w:hAnsi="Cambria" w:cs="Cambria" w:hint="default"/>
      <w:b w:val="0"/>
      <w:bCs w:val="0"/>
      <w:i w:val="0"/>
      <w:iCs w:val="0"/>
      <w:w w:val="76"/>
      <w:sz w:val="19"/>
      <w:szCs w:val="19"/>
      <w:lang w:val="en-US" w:bidi="ar-SA"/>
    </w:rPr>
  </w:style>
  <w:style w:type="character" w:customStyle="1" w:styleId="WW8Num43z0">
    <w:name w:val="WW8Num43z0"/>
    <w:rPr>
      <w:rFonts w:ascii="Arial" w:eastAsia="Cambria" w:hAnsi="Arial" w:cs="Arial" w:hint="default"/>
      <w:b w:val="0"/>
      <w:bCs w:val="0"/>
      <w:i w:val="0"/>
      <w:iCs w:val="0"/>
      <w:spacing w:val="-1"/>
      <w:w w:val="68"/>
      <w:sz w:val="20"/>
      <w:szCs w:val="20"/>
      <w:lang w:val="en-US" w:bidi="ar-SA"/>
    </w:rPr>
  </w:style>
  <w:style w:type="character" w:customStyle="1" w:styleId="WW8Num43z1">
    <w:name w:val="WW8Num43z1"/>
    <w:rPr>
      <w:rFonts w:ascii="Arial" w:eastAsia="Cambria" w:hAnsi="Arial" w:cs="Arial" w:hint="default"/>
      <w:b w:val="0"/>
      <w:bCs w:val="0"/>
      <w:i w:val="0"/>
      <w:iCs w:val="0"/>
      <w:w w:val="76"/>
      <w:sz w:val="20"/>
      <w:szCs w:val="20"/>
      <w:lang w:val="en-US" w:bidi="ar-SA"/>
    </w:rPr>
  </w:style>
  <w:style w:type="character" w:customStyle="1" w:styleId="WW8Num43z2">
    <w:name w:val="WW8Num43z2"/>
    <w:rPr>
      <w:rFonts w:ascii="Cambria" w:eastAsia="Cambria" w:hAnsi="Cambria" w:cs="Cambria" w:hint="default"/>
      <w:b w:val="0"/>
      <w:bCs w:val="0"/>
      <w:i w:val="0"/>
      <w:iCs w:val="0"/>
      <w:w w:val="74"/>
      <w:sz w:val="19"/>
      <w:szCs w:val="19"/>
      <w:lang w:val="en-US" w:bidi="ar-SA"/>
    </w:rPr>
  </w:style>
  <w:style w:type="character" w:customStyle="1" w:styleId="WW8Num43z3">
    <w:name w:val="WW8Num43z3"/>
    <w:rPr>
      <w:rFonts w:hint="default"/>
      <w:lang w:val="en-US" w:bidi="ar-SA"/>
    </w:rPr>
  </w:style>
  <w:style w:type="character" w:customStyle="1" w:styleId="WW8Num44z0">
    <w:name w:val="WW8Num44z0"/>
    <w:rPr>
      <w:rFonts w:ascii="Cambria" w:eastAsia="Cambria" w:hAnsi="Cambria" w:cs="Cambria" w:hint="default"/>
      <w:b w:val="0"/>
      <w:bCs w:val="0"/>
      <w:i w:val="0"/>
      <w:iCs w:val="0"/>
      <w:w w:val="76"/>
      <w:sz w:val="19"/>
      <w:szCs w:val="19"/>
      <w:lang w:val="en-US" w:bidi="ar-SA"/>
    </w:rPr>
  </w:style>
  <w:style w:type="character" w:customStyle="1" w:styleId="WW8Num44z1">
    <w:name w:val="WW8Num44z1"/>
    <w:rPr>
      <w:rFonts w:ascii="Cambria" w:eastAsia="Cambria" w:hAnsi="Cambria" w:cs="Cambria" w:hint="default"/>
      <w:b w:val="0"/>
      <w:bCs w:val="0"/>
      <w:i w:val="0"/>
      <w:iCs w:val="0"/>
      <w:w w:val="74"/>
      <w:sz w:val="19"/>
      <w:szCs w:val="19"/>
      <w:lang w:val="en-US" w:bidi="ar-SA"/>
    </w:rPr>
  </w:style>
  <w:style w:type="character" w:customStyle="1" w:styleId="WW8Num44z2">
    <w:name w:val="WW8Num44z2"/>
    <w:rPr>
      <w:rFonts w:hint="default"/>
      <w:lang w:val="en-US" w:bidi="ar-SA"/>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7z0">
    <w:name w:val="WW8Num47z0"/>
    <w:rPr>
      <w:rFonts w:ascii="Arial" w:hAnsi="Arial" w:cs="Arial" w:hint="default"/>
      <w:sz w:val="20"/>
      <w:lang w:val="en-G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eastAsia="Calibri" w:hAnsi="Symbol" w:cs="Symbol" w:hint="default"/>
      <w:sz w:val="20"/>
      <w:szCs w:val="20"/>
      <w:lang w:val="en-GB"/>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Arial" w:hint="default"/>
      <w:lang w:val="en-GB"/>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rPr>
      <w:u w:val="singl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Absatz-Standardschriftart1">
    <w:name w:val="Absatz-Standardschriftart1"/>
  </w:style>
  <w:style w:type="character" w:customStyle="1" w:styleId="berschrift1Zchn">
    <w:name w:val="Überschrift 1 Zchn"/>
    <w:rPr>
      <w:b/>
      <w:bCs/>
      <w:sz w:val="32"/>
      <w:szCs w:val="24"/>
      <w:u w:val="single"/>
      <w:lang w:val="en-GB"/>
    </w:rPr>
  </w:style>
  <w:style w:type="character" w:customStyle="1" w:styleId="berschrift2Zchn">
    <w:name w:val="Überschrift 2 Zchn"/>
    <w:rPr>
      <w:b/>
      <w:bCs/>
      <w:sz w:val="18"/>
      <w:szCs w:val="24"/>
      <w:lang w:val="en-GB"/>
    </w:rPr>
  </w:style>
  <w:style w:type="character" w:customStyle="1" w:styleId="berschrift5Zchn">
    <w:name w:val="Überschrift 5 Zchn"/>
    <w:rPr>
      <w:rFonts w:ascii="Trebuchet MS" w:hAnsi="Trebuchet MS" w:cs="Trebuchet MS"/>
      <w:sz w:val="18"/>
      <w:szCs w:val="24"/>
      <w:u w:val="single"/>
      <w:lang w:val="en-GB"/>
    </w:rPr>
  </w:style>
  <w:style w:type="character" w:customStyle="1" w:styleId="FuzeileZchn">
    <w:name w:val="Fußzeile Zchn"/>
    <w:rPr>
      <w:rFonts w:ascii="Arial" w:hAnsi="Arial" w:cs="Arial"/>
      <w:sz w:val="24"/>
      <w:lang w:val="pt-PT"/>
    </w:rPr>
  </w:style>
  <w:style w:type="character" w:customStyle="1" w:styleId="KopfzeileZchn">
    <w:name w:val="Kopfzeile Zchn"/>
    <w:rPr>
      <w:sz w:val="24"/>
      <w:szCs w:val="24"/>
      <w:lang w:val="en-US"/>
    </w:rPr>
  </w:style>
  <w:style w:type="character" w:customStyle="1" w:styleId="TextkrperZchn">
    <w:name w:val="Textkörper Zchn"/>
    <w:rPr>
      <w:sz w:val="18"/>
      <w:szCs w:val="24"/>
      <w:lang w:val="en-GB"/>
    </w:rPr>
  </w:style>
  <w:style w:type="character" w:customStyle="1" w:styleId="FootnoteCharacters">
    <w:name w:val="Footnote Characters"/>
    <w:rPr>
      <w:vertAlign w:val="superscript"/>
    </w:rPr>
  </w:style>
  <w:style w:type="character" w:styleId="PageNumber">
    <w:name w:val="page number"/>
    <w:basedOn w:val="Absatz-Standardschriftart1"/>
  </w:style>
  <w:style w:type="character" w:customStyle="1" w:styleId="Textkrper2Zchn">
    <w:name w:val="Textkörper 2 Zchn"/>
    <w:rPr>
      <w:rFonts w:ascii="Verdana" w:hAnsi="Verdana" w:cs="Verdana"/>
      <w:sz w:val="16"/>
      <w:szCs w:val="24"/>
      <w:lang w:val="en-GB"/>
    </w:rPr>
  </w:style>
  <w:style w:type="character" w:customStyle="1" w:styleId="Textkrper3Zchn">
    <w:name w:val="Textkörper 3 Zchn"/>
    <w:rPr>
      <w:rFonts w:ascii="Trebuchet MS" w:hAnsi="Trebuchet MS" w:cs="Trebuchet MS"/>
      <w:sz w:val="18"/>
      <w:szCs w:val="24"/>
      <w:lang w:val="en-GB"/>
    </w:rPr>
  </w:style>
  <w:style w:type="character" w:customStyle="1" w:styleId="Kommentarzeichen1">
    <w:name w:val="Kommentarzeichen1"/>
    <w:rPr>
      <w:sz w:val="16"/>
      <w:szCs w:val="16"/>
    </w:rPr>
  </w:style>
  <w:style w:type="character" w:customStyle="1" w:styleId="KommentartextZchn">
    <w:name w:val="Kommentartext Zchn"/>
    <w:rPr>
      <w:lang w:val="de-DE"/>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prechblasentextZchn">
    <w:name w:val="Sprechblasentext Zchn"/>
    <w:rPr>
      <w:rFonts w:ascii="Tahoma" w:hAnsi="Tahoma" w:cs="Tahoma"/>
      <w:sz w:val="16"/>
      <w:szCs w:val="16"/>
      <w:lang w:val="de-DE"/>
    </w:rPr>
  </w:style>
  <w:style w:type="character" w:customStyle="1" w:styleId="KommentarthemaZchn1">
    <w:name w:val="Kommentarthema Zchn1"/>
    <w:rPr>
      <w:b/>
      <w:bCs/>
    </w:rPr>
  </w:style>
  <w:style w:type="character" w:customStyle="1" w:styleId="KommentarthemaZchn">
    <w:name w:val="Kommentarthema Zchn"/>
    <w:basedOn w:val="KommentartextZchn"/>
    <w:rPr>
      <w:lang w:val="de-DE"/>
    </w:rPr>
  </w:style>
  <w:style w:type="character" w:customStyle="1" w:styleId="bodytext">
    <w:name w:val="bodytext"/>
  </w:style>
  <w:style w:type="character" w:customStyle="1" w:styleId="InvestmentWill2Char">
    <w:name w:val="Investment_Will_2 Char"/>
    <w:rPr>
      <w:rFonts w:ascii="Calibri" w:hAnsi="Calibri" w:cs="Calibri"/>
      <w:lang w:val="en-CA"/>
    </w:rPr>
  </w:style>
  <w:style w:type="character" w:styleId="UnresolvedMention">
    <w:name w:val="Unresolved Mention"/>
    <w:rPr>
      <w:color w:val="808080"/>
      <w:shd w:val="clear" w:color="auto" w:fill="E6E6E6"/>
    </w:rPr>
  </w:style>
  <w:style w:type="character" w:customStyle="1" w:styleId="FunotentextZchn">
    <w:name w:val="Fußnotentext Zchn"/>
  </w:style>
  <w:style w:type="character" w:customStyle="1" w:styleId="berschrift3Zchn">
    <w:name w:val="Überschrift 3 Zchn"/>
    <w:rPr>
      <w:b/>
      <w:bCs/>
      <w:sz w:val="24"/>
      <w:szCs w:val="24"/>
      <w:u w:val="single"/>
      <w:lang w:val="en-GB"/>
    </w:rPr>
  </w:style>
  <w:style w:type="character" w:customStyle="1" w:styleId="berschrift4Zchn">
    <w:name w:val="Überschrift 4 Zchn"/>
    <w:rPr>
      <w:rFonts w:ascii="Trebuchet MS" w:hAnsi="Trebuchet MS" w:cs="Trebuchet MS"/>
      <w:sz w:val="18"/>
      <w:szCs w:val="24"/>
      <w:lang w:val="en-GB"/>
    </w:rPr>
  </w:style>
  <w:style w:type="character" w:customStyle="1" w:styleId="berschrift6Zchn">
    <w:name w:val="Überschrift 6 Zchn"/>
    <w:rPr>
      <w:rFonts w:ascii="Verdana" w:hAnsi="Verdana" w:cs="Verdana"/>
      <w:b/>
      <w:bCs/>
      <w:szCs w:val="24"/>
      <w:lang w:val="en-GB"/>
    </w:rPr>
  </w:style>
  <w:style w:type="character" w:customStyle="1" w:styleId="berschrift7Zchn">
    <w:name w:val="Überschrift 7 Zchn"/>
    <w:rPr>
      <w:b/>
      <w:bCs/>
      <w:sz w:val="24"/>
      <w:szCs w:val="24"/>
      <w:u w:val="single"/>
      <w:lang w:val="en-GB"/>
    </w:rPr>
  </w:style>
  <w:style w:type="character" w:customStyle="1" w:styleId="berschrift8Zchn">
    <w:name w:val="Überschrift 8 Zchn"/>
    <w:rPr>
      <w:rFonts w:ascii="Trebuchet MS" w:hAnsi="Trebuchet MS" w:cs="Arial"/>
      <w:b/>
      <w:bCs/>
    </w:rPr>
  </w:style>
  <w:style w:type="character" w:customStyle="1" w:styleId="berschrift9Zchn">
    <w:name w:val="Überschrift 9 Zchn"/>
    <w:rPr>
      <w:rFonts w:ascii="Trebuchet MS" w:hAnsi="Trebuchet MS" w:cs="Trebuchet MS"/>
      <w:b/>
      <w:bCs/>
      <w:szCs w:val="24"/>
      <w:lang w:val="en-GB"/>
    </w:rPr>
  </w:style>
  <w:style w:type="character" w:customStyle="1" w:styleId="Kommentarzeichen2">
    <w:name w:val="Kommentarzeichen2"/>
    <w:rPr>
      <w:sz w:val="16"/>
      <w:szCs w:val="16"/>
    </w:rPr>
  </w:style>
  <w:style w:type="character" w:customStyle="1" w:styleId="KommentartextZchn1">
    <w:name w:val="Kommentartext Zchn1"/>
    <w:rPr>
      <w:lang w:eastAsia="zh-CN"/>
    </w:rPr>
  </w:style>
  <w:style w:type="paragraph" w:customStyle="1" w:styleId="Heading">
    <w:name w:val="Heading"/>
    <w:basedOn w:val="Normal"/>
    <w:next w:val="BodyText0"/>
    <w:pPr>
      <w:keepNext/>
      <w:spacing w:before="240" w:after="120"/>
    </w:pPr>
    <w:rPr>
      <w:rFonts w:ascii="Liberation Sans" w:eastAsia="Noto Sans CJK SC" w:hAnsi="Liberation Sans" w:cs="Lohit Devanagari"/>
      <w:sz w:val="28"/>
      <w:szCs w:val="28"/>
    </w:rPr>
  </w:style>
  <w:style w:type="paragraph" w:styleId="BodyText0">
    <w:name w:val="Body Text"/>
    <w:basedOn w:val="Normal"/>
    <w:pPr>
      <w:spacing w:line="360" w:lineRule="auto"/>
      <w:jc w:val="both"/>
    </w:pPr>
    <w:rPr>
      <w:sz w:val="18"/>
      <w:lang w:val="en-GB"/>
    </w:rPr>
  </w:style>
  <w:style w:type="paragraph" w:styleId="List">
    <w:name w:val="List"/>
    <w:basedOn w:val="BodyText0"/>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Beschriftung2">
    <w:name w:val="Beschriftung2"/>
    <w:basedOn w:val="Normal"/>
    <w:pPr>
      <w:suppressLineNumbers/>
      <w:spacing w:before="120" w:after="120"/>
    </w:pPr>
    <w:rPr>
      <w:rFonts w:cs="Lohit Devanagari"/>
      <w:i/>
      <w:iCs/>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widowControl w:val="0"/>
      <w:tabs>
        <w:tab w:val="center" w:pos="4153"/>
        <w:tab w:val="right" w:pos="8306"/>
      </w:tabs>
      <w:jc w:val="both"/>
    </w:pPr>
    <w:rPr>
      <w:rFonts w:ascii="Arial" w:hAnsi="Arial" w:cs="Arial"/>
      <w:szCs w:val="20"/>
      <w:lang w:val="pt-PT"/>
    </w:rPr>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tabs>
        <w:tab w:val="left" w:pos="1065"/>
      </w:tabs>
      <w:spacing w:line="360" w:lineRule="auto"/>
      <w:ind w:left="1065"/>
      <w:jc w:val="both"/>
    </w:pPr>
    <w:rPr>
      <w:color w:val="FF0000"/>
      <w:sz w:val="18"/>
      <w:lang w:val="en-GB"/>
    </w:rPr>
  </w:style>
  <w:style w:type="paragraph" w:customStyle="1" w:styleId="TextLevel1">
    <w:name w:val="Text Level 1"/>
    <w:basedOn w:val="Normal"/>
    <w:pPr>
      <w:numPr>
        <w:numId w:val="11"/>
      </w:numPr>
      <w:spacing w:before="120" w:after="120"/>
      <w:jc w:val="both"/>
    </w:pPr>
    <w:rPr>
      <w:sz w:val="22"/>
      <w:szCs w:val="20"/>
      <w:lang w:val="en-GB"/>
    </w:rPr>
  </w:style>
  <w:style w:type="paragraph" w:customStyle="1" w:styleId="TextLevel2">
    <w:name w:val="Text Level 2"/>
    <w:basedOn w:val="Normal"/>
    <w:pPr>
      <w:numPr>
        <w:numId w:val="11"/>
      </w:numPr>
      <w:spacing w:before="120" w:after="120"/>
      <w:jc w:val="both"/>
    </w:pPr>
    <w:rPr>
      <w:sz w:val="22"/>
      <w:szCs w:val="20"/>
      <w:lang w:val="en-GB"/>
    </w:rPr>
  </w:style>
  <w:style w:type="paragraph" w:customStyle="1" w:styleId="TextLevel3">
    <w:name w:val="Text Level 3"/>
    <w:basedOn w:val="Normal"/>
    <w:pPr>
      <w:numPr>
        <w:numId w:val="11"/>
      </w:numPr>
      <w:spacing w:before="120" w:after="120"/>
      <w:jc w:val="both"/>
    </w:pPr>
    <w:rPr>
      <w:sz w:val="22"/>
      <w:szCs w:val="20"/>
      <w:lang w:val="en-GB"/>
    </w:rPr>
  </w:style>
  <w:style w:type="paragraph" w:customStyle="1" w:styleId="TextLevel4">
    <w:name w:val="Text Level 4"/>
    <w:basedOn w:val="Normal"/>
    <w:pPr>
      <w:numPr>
        <w:numId w:val="11"/>
      </w:numPr>
      <w:spacing w:before="120" w:after="120"/>
      <w:jc w:val="both"/>
    </w:pPr>
    <w:rPr>
      <w:sz w:val="22"/>
      <w:szCs w:val="20"/>
      <w:lang w:val="en-GB"/>
    </w:rPr>
  </w:style>
  <w:style w:type="paragraph" w:customStyle="1" w:styleId="TextLevel5">
    <w:name w:val="Text Level 5"/>
    <w:basedOn w:val="Normal"/>
    <w:pPr>
      <w:numPr>
        <w:numId w:val="11"/>
      </w:numPr>
      <w:spacing w:before="120" w:after="120"/>
      <w:jc w:val="both"/>
    </w:pPr>
    <w:rPr>
      <w:sz w:val="22"/>
      <w:szCs w:val="20"/>
      <w:lang w:val="en-GB"/>
    </w:rPr>
  </w:style>
  <w:style w:type="paragraph" w:customStyle="1" w:styleId="TextLevel6">
    <w:name w:val="Text Level 6"/>
    <w:basedOn w:val="Normal"/>
    <w:pPr>
      <w:numPr>
        <w:numId w:val="11"/>
      </w:numPr>
      <w:spacing w:before="120" w:after="120"/>
      <w:jc w:val="both"/>
    </w:pPr>
    <w:rPr>
      <w:sz w:val="22"/>
      <w:szCs w:val="20"/>
      <w:lang w:val="en-GB"/>
    </w:rPr>
  </w:style>
  <w:style w:type="paragraph" w:customStyle="1" w:styleId="TextLevel7">
    <w:name w:val="Text Level 7"/>
    <w:basedOn w:val="Normal"/>
    <w:pPr>
      <w:numPr>
        <w:numId w:val="11"/>
      </w:numPr>
      <w:spacing w:before="120" w:after="120"/>
      <w:jc w:val="both"/>
    </w:pPr>
    <w:rPr>
      <w:sz w:val="22"/>
      <w:szCs w:val="20"/>
      <w:lang w:val="en-GB"/>
    </w:rPr>
  </w:style>
  <w:style w:type="paragraph" w:customStyle="1" w:styleId="TextLevel8">
    <w:name w:val="Text Level 8"/>
    <w:basedOn w:val="Normal"/>
    <w:pPr>
      <w:numPr>
        <w:numId w:val="11"/>
      </w:numPr>
      <w:spacing w:before="120" w:after="120"/>
      <w:jc w:val="both"/>
    </w:pPr>
    <w:rPr>
      <w:sz w:val="22"/>
      <w:szCs w:val="20"/>
      <w:lang w:val="en-GB"/>
    </w:rPr>
  </w:style>
  <w:style w:type="paragraph" w:customStyle="1" w:styleId="Text">
    <w:name w:val="Text"/>
    <w:basedOn w:val="Normal"/>
    <w:pPr>
      <w:tabs>
        <w:tab w:val="left" w:pos="284"/>
      </w:tabs>
      <w:overflowPunct w:val="0"/>
      <w:autoSpaceDE w:val="0"/>
      <w:spacing w:after="260"/>
      <w:jc w:val="both"/>
      <w:textAlignment w:val="baseline"/>
    </w:pPr>
    <w:rPr>
      <w:sz w:val="22"/>
      <w:szCs w:val="20"/>
      <w:lang w:val="en-GB"/>
    </w:rPr>
  </w:style>
  <w:style w:type="paragraph" w:styleId="FootnoteText">
    <w:name w:val="footnote text"/>
    <w:basedOn w:val="Normal"/>
    <w:rPr>
      <w:sz w:val="20"/>
      <w:szCs w:val="20"/>
    </w:rPr>
  </w:style>
  <w:style w:type="paragraph" w:customStyle="1" w:styleId="Textkrper21">
    <w:name w:val="Textkörper 21"/>
    <w:basedOn w:val="Normal"/>
    <w:rPr>
      <w:rFonts w:ascii="Verdana" w:hAnsi="Verdana" w:cs="Verdana"/>
      <w:sz w:val="16"/>
      <w:lang w:val="en-GB"/>
    </w:rPr>
  </w:style>
  <w:style w:type="paragraph" w:customStyle="1" w:styleId="Textkrper31">
    <w:name w:val="Textkörper 31"/>
    <w:basedOn w:val="Normal"/>
    <w:pPr>
      <w:spacing w:before="120" w:after="120" w:line="360" w:lineRule="auto"/>
    </w:pPr>
    <w:rPr>
      <w:rFonts w:ascii="Trebuchet MS" w:hAnsi="Trebuchet MS" w:cs="Trebuchet MS"/>
      <w:sz w:val="18"/>
      <w:lang w:val="en-GB"/>
    </w:rPr>
  </w:style>
  <w:style w:type="paragraph" w:customStyle="1" w:styleId="DocumentTitle">
    <w:name w:val="Document Title"/>
    <w:basedOn w:val="Normal"/>
    <w:next w:val="Normal"/>
    <w:pPr>
      <w:jc w:val="center"/>
    </w:pPr>
    <w:rPr>
      <w:rFonts w:ascii="Tahoma" w:hAnsi="Tahoma" w:cs="Tahoma"/>
      <w:b/>
      <w:bCs/>
      <w:caps/>
      <w:color w:val="084887"/>
      <w:sz w:val="48"/>
      <w:lang w:val="en-GB"/>
    </w:rPr>
  </w:style>
  <w:style w:type="paragraph" w:customStyle="1" w:styleId="Bullet1">
    <w:name w:val="Bullet 1"/>
    <w:pPr>
      <w:keepLines/>
      <w:numPr>
        <w:numId w:val="6"/>
      </w:numPr>
      <w:suppressAutoHyphens/>
      <w:spacing w:before="28" w:after="28"/>
      <w:jc w:val="both"/>
    </w:pPr>
    <w:rPr>
      <w:rFonts w:ascii="Arial" w:eastAsia="SimSun" w:hAnsi="Arial" w:cs="Arial"/>
      <w:color w:val="000000"/>
      <w:lang w:val="en-US" w:eastAsia="zh-CN"/>
    </w:rPr>
  </w:style>
  <w:style w:type="paragraph" w:customStyle="1" w:styleId="CNParagraph">
    <w:name w:val="CN Paragraph"/>
    <w:pPr>
      <w:suppressAutoHyphens/>
      <w:spacing w:before="28" w:after="28"/>
      <w:jc w:val="both"/>
    </w:pPr>
    <w:rPr>
      <w:rFonts w:ascii="Arial" w:hAnsi="Arial" w:cs="Arial"/>
      <w:szCs w:val="24"/>
      <w:lang w:val="en-US" w:eastAsia="zh-CN"/>
    </w:rPr>
  </w:style>
  <w:style w:type="paragraph" w:customStyle="1" w:styleId="CNHead1">
    <w:name w:val="CN Head 1"/>
    <w:basedOn w:val="CNParagraph"/>
    <w:pPr>
      <w:numPr>
        <w:numId w:val="16"/>
      </w:numPr>
      <w:spacing w:before="72"/>
      <w:jc w:val="left"/>
    </w:pPr>
    <w:rPr>
      <w:b/>
      <w:sz w:val="24"/>
    </w:rPr>
  </w:style>
  <w:style w:type="paragraph" w:customStyle="1" w:styleId="CNHead2">
    <w:name w:val="CN Head 2"/>
    <w:basedOn w:val="CNParagraph"/>
    <w:pPr>
      <w:numPr>
        <w:numId w:val="16"/>
      </w:numPr>
      <w:tabs>
        <w:tab w:val="left" w:pos="360"/>
      </w:tabs>
      <w:spacing w:before="72"/>
      <w:jc w:val="left"/>
    </w:pPr>
    <w:rPr>
      <w:b/>
      <w:sz w:val="22"/>
    </w:rPr>
  </w:style>
  <w:style w:type="paragraph" w:customStyle="1" w:styleId="CNHead3">
    <w:name w:val="CN Head 3"/>
    <w:basedOn w:val="CNParagraph"/>
    <w:pPr>
      <w:numPr>
        <w:numId w:val="16"/>
      </w:numPr>
      <w:tabs>
        <w:tab w:val="left" w:pos="360"/>
      </w:tabs>
      <w:spacing w:before="72"/>
      <w:jc w:val="left"/>
    </w:pPr>
    <w:rPr>
      <w:b/>
    </w:rPr>
  </w:style>
  <w:style w:type="paragraph" w:customStyle="1" w:styleId="CNLevel1List">
    <w:name w:val="CN Level 1 List"/>
    <w:basedOn w:val="CNParagraph"/>
    <w:pPr>
      <w:numPr>
        <w:numId w:val="16"/>
      </w:numPr>
    </w:pPr>
  </w:style>
  <w:style w:type="paragraph" w:customStyle="1" w:styleId="CNLevel2List">
    <w:name w:val="CN Level 2 List"/>
    <w:basedOn w:val="CNParagraph"/>
    <w:pPr>
      <w:numPr>
        <w:numId w:val="16"/>
      </w:numPr>
    </w:pPr>
  </w:style>
  <w:style w:type="paragraph" w:customStyle="1" w:styleId="CNLevel3List">
    <w:name w:val="CN Level 3 List"/>
    <w:basedOn w:val="CNParagraph"/>
    <w:pPr>
      <w:numPr>
        <w:numId w:val="16"/>
      </w:numPr>
      <w:tabs>
        <w:tab w:val="left" w:pos="360"/>
      </w:tabs>
    </w:pPr>
  </w:style>
  <w:style w:type="paragraph" w:customStyle="1" w:styleId="CNLevel4List">
    <w:name w:val="CN Level 4 List"/>
    <w:basedOn w:val="CNParagraph"/>
    <w:pPr>
      <w:numPr>
        <w:numId w:val="16"/>
      </w:numPr>
      <w:tabs>
        <w:tab w:val="left" w:pos="360"/>
      </w:tabs>
    </w:pPr>
  </w:style>
  <w:style w:type="paragraph" w:customStyle="1" w:styleId="CNTitle">
    <w:name w:val="CN Title"/>
    <w:basedOn w:val="CNParagraph"/>
    <w:pPr>
      <w:numPr>
        <w:numId w:val="16"/>
      </w:numPr>
      <w:tabs>
        <w:tab w:val="left" w:pos="360"/>
      </w:tabs>
      <w:spacing w:before="144" w:after="72"/>
      <w:jc w:val="center"/>
    </w:pPr>
    <w:rPr>
      <w:b/>
      <w:sz w:val="28"/>
    </w:rPr>
  </w:style>
  <w:style w:type="paragraph" w:customStyle="1" w:styleId="CNLevel1Bullet">
    <w:name w:val="CN Level 1 Bullet"/>
    <w:basedOn w:val="CNParagraph"/>
    <w:pPr>
      <w:numPr>
        <w:numId w:val="12"/>
      </w:numPr>
    </w:pPr>
    <w:rPr>
      <w:szCs w:val="20"/>
    </w:rPr>
  </w:style>
  <w:style w:type="paragraph" w:customStyle="1" w:styleId="CNLevel2Bullet">
    <w:name w:val="CN Level 2 Bullet"/>
    <w:basedOn w:val="CNParagraph"/>
    <w:pPr>
      <w:numPr>
        <w:numId w:val="12"/>
      </w:numPr>
    </w:pPr>
    <w:rPr>
      <w:szCs w:val="20"/>
    </w:rPr>
  </w:style>
  <w:style w:type="paragraph" w:customStyle="1" w:styleId="CNLevel3Bullet">
    <w:name w:val="CN Level 3 Bullet"/>
    <w:basedOn w:val="CNParagraph"/>
    <w:pPr>
      <w:numPr>
        <w:numId w:val="12"/>
      </w:numPr>
    </w:pPr>
    <w:rPr>
      <w:szCs w:val="20"/>
    </w:rPr>
  </w:style>
  <w:style w:type="paragraph" w:customStyle="1" w:styleId="CNLevel4Bullet">
    <w:name w:val="CN Level 4 Bullet"/>
    <w:basedOn w:val="CNParagraph"/>
    <w:pPr>
      <w:numPr>
        <w:numId w:val="12"/>
      </w:numPr>
    </w:pPr>
    <w:rPr>
      <w:szCs w:val="20"/>
    </w:rPr>
  </w:style>
  <w:style w:type="paragraph" w:customStyle="1" w:styleId="CNLevel5Bullet">
    <w:name w:val="CN Level 5 Bullet"/>
    <w:basedOn w:val="CNParagraph"/>
    <w:pPr>
      <w:numPr>
        <w:numId w:val="12"/>
      </w:numPr>
    </w:pPr>
    <w:rPr>
      <w:szCs w:val="20"/>
    </w:rPr>
  </w:style>
  <w:style w:type="paragraph" w:customStyle="1" w:styleId="CNLevel6Bullet">
    <w:name w:val="CN Level 6 Bullet"/>
    <w:basedOn w:val="CNParagraph"/>
    <w:pPr>
      <w:numPr>
        <w:numId w:val="12"/>
      </w:numPr>
    </w:pPr>
    <w:rPr>
      <w:szCs w:val="20"/>
    </w:rPr>
  </w:style>
  <w:style w:type="paragraph" w:customStyle="1" w:styleId="CNInternalNoteLevel1Bullet">
    <w:name w:val="CN Internal Note Level 1 Bullet"/>
    <w:basedOn w:val="Normal"/>
    <w:pPr>
      <w:numPr>
        <w:numId w:val="12"/>
      </w:numPr>
      <w:pBdr>
        <w:top w:val="none" w:sz="0" w:space="0" w:color="000000"/>
        <w:left w:val="none" w:sz="0" w:space="0" w:color="000000"/>
        <w:bottom w:val="none" w:sz="0" w:space="0" w:color="000000"/>
        <w:right w:val="double" w:sz="42" w:space="4" w:color="FF0000"/>
      </w:pBdr>
      <w:spacing w:before="28" w:after="28"/>
      <w:jc w:val="both"/>
    </w:pPr>
    <w:rPr>
      <w:rFonts w:ascii="Arial" w:hAnsi="Arial" w:cs="Arial"/>
      <w:b/>
      <w:color w:val="FF0000"/>
      <w:sz w:val="18"/>
      <w:szCs w:val="20"/>
      <w:lang w:val="en-US"/>
    </w:rPr>
  </w:style>
  <w:style w:type="paragraph" w:customStyle="1" w:styleId="CNInternalNoteLevel2Bullet">
    <w:name w:val="CN Internal Note Level 2 Bullet"/>
    <w:basedOn w:val="Normal"/>
    <w:pPr>
      <w:numPr>
        <w:numId w:val="12"/>
      </w:numPr>
      <w:pBdr>
        <w:top w:val="none" w:sz="0" w:space="0" w:color="000000"/>
        <w:left w:val="none" w:sz="0" w:space="0" w:color="000000"/>
        <w:bottom w:val="none" w:sz="0" w:space="0" w:color="000000"/>
        <w:right w:val="double" w:sz="42" w:space="4" w:color="FF0000"/>
      </w:pBdr>
      <w:spacing w:before="28" w:after="28"/>
      <w:jc w:val="both"/>
    </w:pPr>
    <w:rPr>
      <w:rFonts w:ascii="Arial" w:hAnsi="Arial" w:cs="Arial"/>
      <w:b/>
      <w:color w:val="FF0000"/>
      <w:sz w:val="18"/>
      <w:szCs w:val="20"/>
      <w:lang w:val="en-US"/>
    </w:rPr>
  </w:style>
  <w:style w:type="paragraph" w:customStyle="1" w:styleId="CNActivityTitle">
    <w:name w:val="CN Activity Title"/>
    <w:basedOn w:val="CNParagraph"/>
    <w:next w:val="CNParagraph"/>
    <w:pPr>
      <w:numPr>
        <w:numId w:val="18"/>
      </w:numPr>
      <w:spacing w:before="120"/>
    </w:pPr>
    <w:rPr>
      <w:b/>
      <w:szCs w:val="20"/>
      <w:u w:val="single"/>
    </w:rPr>
  </w:style>
  <w:style w:type="paragraph" w:customStyle="1" w:styleId="CNTaskTitle">
    <w:name w:val="CN Task Title"/>
    <w:basedOn w:val="CNParagraph"/>
    <w:next w:val="CNLevel1Text"/>
    <w:pPr>
      <w:numPr>
        <w:numId w:val="18"/>
      </w:numPr>
    </w:pPr>
    <w:rPr>
      <w:b/>
      <w:i/>
      <w:szCs w:val="20"/>
    </w:rPr>
  </w:style>
  <w:style w:type="paragraph" w:customStyle="1" w:styleId="CNLevel1Text">
    <w:name w:val="CN Level 1 Text"/>
    <w:basedOn w:val="CNParagraph"/>
    <w:pPr>
      <w:ind w:left="360"/>
    </w:pPr>
  </w:style>
  <w:style w:type="paragraph" w:customStyle="1" w:styleId="CNActivityReset">
    <w:name w:val="CN Activity Reset"/>
    <w:basedOn w:val="CNParagraph"/>
    <w:next w:val="CNActivityTitle"/>
    <w:pPr>
      <w:numPr>
        <w:numId w:val="18"/>
      </w:numPr>
    </w:pPr>
    <w:rPr>
      <w:szCs w:val="20"/>
    </w:rPr>
  </w:style>
  <w:style w:type="paragraph" w:customStyle="1" w:styleId="CNTaskLevel3List">
    <w:name w:val="CN Task Level 3 List"/>
    <w:basedOn w:val="CNParagraph"/>
    <w:pPr>
      <w:numPr>
        <w:numId w:val="18"/>
      </w:numPr>
      <w:spacing w:before="0" w:after="0"/>
    </w:pPr>
    <w:rPr>
      <w:szCs w:val="20"/>
    </w:rPr>
  </w:style>
  <w:style w:type="paragraph" w:customStyle="1" w:styleId="CNTaskLevel2List">
    <w:name w:val="CN Task Level 2 List"/>
    <w:basedOn w:val="CNParagraph"/>
    <w:pPr>
      <w:numPr>
        <w:numId w:val="18"/>
      </w:numPr>
      <w:spacing w:before="0" w:after="0"/>
    </w:pPr>
    <w:rPr>
      <w:szCs w:val="20"/>
    </w:rPr>
  </w:style>
  <w:style w:type="paragraph" w:customStyle="1" w:styleId="CNTaskLevel4List">
    <w:name w:val="CN Task Level 4 List"/>
    <w:basedOn w:val="CNParagraph"/>
    <w:pPr>
      <w:numPr>
        <w:numId w:val="18"/>
      </w:numPr>
      <w:spacing w:before="0" w:after="0"/>
    </w:pPr>
    <w:rPr>
      <w:szCs w:val="20"/>
    </w:rPr>
  </w:style>
  <w:style w:type="paragraph" w:customStyle="1" w:styleId="CNTaskText">
    <w:name w:val="CN Task Text"/>
    <w:basedOn w:val="CNParagraph"/>
    <w:pPr>
      <w:numPr>
        <w:numId w:val="3"/>
      </w:numPr>
      <w:ind w:left="360" w:firstLine="0"/>
    </w:pPr>
    <w:rPr>
      <w:szCs w:val="20"/>
    </w:rPr>
  </w:style>
  <w:style w:type="paragraph" w:customStyle="1" w:styleId="Blocktext1">
    <w:name w:val="Blocktext1"/>
    <w:basedOn w:val="Normal"/>
    <w:pPr>
      <w:spacing w:before="120"/>
      <w:ind w:left="-540" w:right="-720"/>
    </w:pPr>
    <w:rPr>
      <w:rFonts w:ascii="Arial" w:hAnsi="Arial" w:cs="Arial"/>
      <w:sz w:val="20"/>
    </w:rPr>
  </w:style>
  <w:style w:type="paragraph" w:customStyle="1" w:styleId="CNParagraphChar1">
    <w:name w:val="CN Paragraph Char1"/>
    <w:pPr>
      <w:suppressAutoHyphens/>
      <w:spacing w:before="28" w:after="28"/>
      <w:jc w:val="both"/>
    </w:pPr>
    <w:rPr>
      <w:rFonts w:ascii="Arial" w:hAnsi="Arial" w:cs="Arial"/>
      <w:szCs w:val="24"/>
      <w:lang w:val="en-US" w:eastAsia="zh-CN"/>
    </w:rPr>
  </w:style>
  <w:style w:type="paragraph" w:customStyle="1" w:styleId="CNSubtitle">
    <w:name w:val="CN Subtitle"/>
    <w:basedOn w:val="CNParagraphChar1"/>
    <w:pPr>
      <w:jc w:val="center"/>
    </w:pPr>
    <w:rPr>
      <w:b/>
      <w:sz w:val="24"/>
    </w:rPr>
  </w:style>
  <w:style w:type="paragraph" w:customStyle="1" w:styleId="Default">
    <w:name w:val="Default"/>
    <w:pPr>
      <w:suppressAutoHyphens/>
      <w:autoSpaceDE w:val="0"/>
    </w:pPr>
    <w:rPr>
      <w:rFonts w:ascii="Arial" w:hAnsi="Arial" w:cs="Arial"/>
      <w:color w:val="000000"/>
      <w:sz w:val="24"/>
      <w:szCs w:val="24"/>
      <w:lang w:val="de-DE" w:eastAsia="zh-CN"/>
    </w:rPr>
  </w:style>
  <w:style w:type="paragraph" w:customStyle="1" w:styleId="Bullet">
    <w:name w:val="Bullet"/>
    <w:basedOn w:val="Normal"/>
    <w:pPr>
      <w:numPr>
        <w:numId w:val="2"/>
      </w:numPr>
      <w:jc w:val="both"/>
    </w:pPr>
    <w:rPr>
      <w:rFonts w:ascii="Tahoma" w:hAnsi="Tahoma" w:cs="Tahoma"/>
      <w:sz w:val="16"/>
      <w:lang w:val="en-GB"/>
    </w:rPr>
  </w:style>
  <w:style w:type="paragraph" w:customStyle="1" w:styleId="textlevel20">
    <w:name w:val="textlevel2"/>
    <w:basedOn w:val="Normal"/>
    <w:pPr>
      <w:spacing w:before="280" w:after="280"/>
    </w:pPr>
    <w:rPr>
      <w:rFonts w:ascii="Arial Unicode MS" w:eastAsia="Arial Unicode MS" w:hAnsi="Arial Unicode MS" w:cs="Arial Unicode MS"/>
    </w:rPr>
  </w:style>
  <w:style w:type="paragraph" w:customStyle="1" w:styleId="BalloonText1">
    <w:name w:val="Balloon Text1"/>
    <w:basedOn w:val="Normal"/>
    <w:rPr>
      <w:rFonts w:ascii="Tahoma" w:hAnsi="Tahoma" w:cs="Tahoma"/>
      <w:sz w:val="16"/>
      <w:szCs w:val="16"/>
    </w:rPr>
  </w:style>
  <w:style w:type="paragraph" w:customStyle="1" w:styleId="Kommentartext1">
    <w:name w:val="Kommentartext1"/>
    <w:basedOn w:val="Normal"/>
    <w:rPr>
      <w:sz w:val="20"/>
      <w:szCs w:val="20"/>
    </w:rPr>
  </w:style>
  <w:style w:type="paragraph" w:customStyle="1" w:styleId="CommentSubject1">
    <w:name w:val="Comment Subject1"/>
    <w:basedOn w:val="Kommentartext1"/>
    <w:next w:val="Kommentartext1"/>
    <w:rPr>
      <w:b/>
      <w:bCs/>
    </w:rPr>
  </w:style>
  <w:style w:type="paragraph" w:customStyle="1" w:styleId="CM1">
    <w:name w:val="CM1"/>
    <w:basedOn w:val="Default"/>
    <w:next w:val="Default"/>
    <w:pPr>
      <w:widowControl w:val="0"/>
    </w:pPr>
    <w:rPr>
      <w:rFonts w:ascii="LIPEDH+Arial" w:hAnsi="LIPEDH+Arial" w:cs="Times New Roman"/>
      <w:color w:val="auto"/>
      <w:lang w:val="en-GB"/>
    </w:rPr>
  </w:style>
  <w:style w:type="paragraph" w:customStyle="1" w:styleId="CM3">
    <w:name w:val="CM3"/>
    <w:basedOn w:val="Default"/>
    <w:next w:val="Default"/>
    <w:pPr>
      <w:widowControl w:val="0"/>
      <w:spacing w:line="258" w:lineRule="atLeast"/>
    </w:pPr>
    <w:rPr>
      <w:rFonts w:ascii="LIPEDH+Arial" w:hAnsi="LIPEDH+Arial" w:cs="Times New Roman"/>
      <w:color w:val="auto"/>
      <w:lang w:val="en-GB"/>
    </w:rPr>
  </w:style>
  <w:style w:type="paragraph" w:customStyle="1" w:styleId="CM31">
    <w:name w:val="CM31"/>
    <w:basedOn w:val="Default"/>
    <w:next w:val="Default"/>
    <w:pPr>
      <w:widowControl w:val="0"/>
      <w:spacing w:after="243"/>
    </w:pPr>
    <w:rPr>
      <w:rFonts w:ascii="LIPEDH+Arial" w:hAnsi="LIPEDH+Arial" w:cs="Times New Roman"/>
      <w:color w:val="auto"/>
      <w:lang w:val="en-GB"/>
    </w:rPr>
  </w:style>
  <w:style w:type="paragraph" w:customStyle="1" w:styleId="CM9">
    <w:name w:val="CM9"/>
    <w:basedOn w:val="Default"/>
    <w:next w:val="Default"/>
    <w:pPr>
      <w:widowControl w:val="0"/>
    </w:pPr>
    <w:rPr>
      <w:rFonts w:ascii="LIPEDH+Arial" w:hAnsi="LIPEDH+Arial" w:cs="Times New Roman"/>
      <w:color w:val="auto"/>
      <w:lang w:val="en-GB"/>
    </w:rPr>
  </w:style>
  <w:style w:type="paragraph" w:customStyle="1" w:styleId="CM18">
    <w:name w:val="CM18"/>
    <w:basedOn w:val="Default"/>
    <w:next w:val="Default"/>
    <w:pPr>
      <w:widowControl w:val="0"/>
      <w:spacing w:line="260" w:lineRule="atLeast"/>
    </w:pPr>
    <w:rPr>
      <w:rFonts w:ascii="LIPEDH+Arial" w:hAnsi="LIPEDH+Arial" w:cs="Times New Roman"/>
      <w:color w:val="auto"/>
      <w:lang w:val="en-GB"/>
    </w:rPr>
  </w:style>
  <w:style w:type="paragraph" w:customStyle="1" w:styleId="ListParagraph1">
    <w:name w:val="List Paragraph1"/>
    <w:basedOn w:val="Normal"/>
    <w:pPr>
      <w:ind w:left="720"/>
    </w:pPr>
  </w:style>
  <w:style w:type="paragraph" w:customStyle="1" w:styleId="font0">
    <w:name w:val="font0"/>
    <w:basedOn w:val="Normal"/>
    <w:pPr>
      <w:spacing w:before="280" w:after="280"/>
    </w:pPr>
    <w:rPr>
      <w:rFonts w:ascii="Arial" w:eastAsia="Arial Unicode MS" w:hAnsi="Arial" w:cs="Arial"/>
      <w:sz w:val="20"/>
      <w:szCs w:val="20"/>
      <w:lang w:val="en-GB"/>
    </w:rPr>
  </w:style>
  <w:style w:type="paragraph" w:styleId="BalloonText">
    <w:name w:val="Balloon Text"/>
    <w:basedOn w:val="Normal"/>
    <w:rPr>
      <w:rFonts w:ascii="Tahoma" w:hAnsi="Tahoma" w:cs="Tahoma"/>
      <w:sz w:val="16"/>
      <w:szCs w:val="16"/>
    </w:rPr>
  </w:style>
  <w:style w:type="paragraph" w:styleId="CommentSubject">
    <w:name w:val="annotation subject"/>
    <w:basedOn w:val="Kommentartext1"/>
    <w:next w:val="Kommentartext1"/>
    <w:rPr>
      <w:b/>
      <w:bCs/>
    </w:rPr>
  </w:style>
  <w:style w:type="paragraph" w:styleId="NormalWeb">
    <w:name w:val="Normal (Web)"/>
    <w:basedOn w:val="Normal"/>
  </w:style>
  <w:style w:type="paragraph" w:customStyle="1" w:styleId="FarbigeListe-Akzent11">
    <w:name w:val="Farbige Liste - Akzent 11"/>
    <w:basedOn w:val="Normal"/>
    <w:pPr>
      <w:spacing w:after="200" w:line="276" w:lineRule="auto"/>
      <w:ind w:left="720"/>
      <w:contextualSpacing/>
    </w:pPr>
    <w:rPr>
      <w:rFonts w:ascii="Calibri" w:eastAsia="Calibri" w:hAnsi="Calibri"/>
      <w:sz w:val="22"/>
      <w:szCs w:val="22"/>
      <w:lang w:val="en-SG"/>
    </w:rPr>
  </w:style>
  <w:style w:type="paragraph" w:customStyle="1" w:styleId="FarbigeSchattierung-Akzent11">
    <w:name w:val="Farbige Schattierung - Akzent 11"/>
    <w:pPr>
      <w:suppressAutoHyphens/>
    </w:pPr>
    <w:rPr>
      <w:rFonts w:ascii="Calibri" w:eastAsia="Calibri" w:hAnsi="Calibri" w:cs="Calibri"/>
      <w:sz w:val="22"/>
      <w:szCs w:val="22"/>
      <w:lang w:eastAsia="zh-CN"/>
    </w:rPr>
  </w:style>
  <w:style w:type="paragraph" w:customStyle="1" w:styleId="TWTextebene">
    <w:name w:val="TW Textebene"/>
    <w:pPr>
      <w:suppressAutoHyphens/>
      <w:spacing w:after="340" w:line="360" w:lineRule="auto"/>
      <w:jc w:val="both"/>
    </w:pPr>
    <w:rPr>
      <w:rFonts w:ascii="Arial" w:eastAsia="Calibri" w:hAnsi="Arial" w:cs="Arial"/>
      <w:sz w:val="21"/>
      <w:szCs w:val="21"/>
      <w:lang w:val="de-DE" w:eastAsia="zh-CN"/>
    </w:rPr>
  </w:style>
  <w:style w:type="paragraph" w:customStyle="1" w:styleId="Paragraph2">
    <w:name w:val="Paragraph 2"/>
    <w:basedOn w:val="BodyText0"/>
    <w:next w:val="Textkrper21"/>
    <w:pPr>
      <w:tabs>
        <w:tab w:val="left" w:pos="360"/>
      </w:tabs>
      <w:spacing w:after="240" w:line="240" w:lineRule="atLeast"/>
    </w:pPr>
    <w:rPr>
      <w:rFonts w:ascii="Arial" w:hAnsi="Arial" w:cs="Arial"/>
      <w:sz w:val="21"/>
      <w:szCs w:val="21"/>
    </w:rPr>
  </w:style>
  <w:style w:type="paragraph" w:customStyle="1" w:styleId="Paragraph3">
    <w:name w:val="Paragraph 3"/>
    <w:basedOn w:val="BodyText0"/>
    <w:next w:val="Textkrper31"/>
    <w:pPr>
      <w:tabs>
        <w:tab w:val="left" w:pos="360"/>
      </w:tabs>
      <w:spacing w:after="240" w:line="240" w:lineRule="atLeast"/>
    </w:pPr>
    <w:rPr>
      <w:rFonts w:ascii="Arial" w:hAnsi="Arial" w:cs="Arial"/>
      <w:sz w:val="21"/>
      <w:szCs w:val="21"/>
    </w:rPr>
  </w:style>
  <w:style w:type="paragraph" w:customStyle="1" w:styleId="Paragraph4">
    <w:name w:val="Paragraph 4"/>
    <w:basedOn w:val="BodyText0"/>
    <w:next w:val="Normal"/>
    <w:pPr>
      <w:tabs>
        <w:tab w:val="left" w:pos="360"/>
      </w:tabs>
      <w:spacing w:after="240" w:line="240" w:lineRule="atLeast"/>
    </w:pPr>
    <w:rPr>
      <w:rFonts w:ascii="Arial" w:hAnsi="Arial" w:cs="Arial"/>
      <w:sz w:val="21"/>
      <w:szCs w:val="21"/>
    </w:rPr>
  </w:style>
  <w:style w:type="paragraph" w:customStyle="1" w:styleId="Paragraph5">
    <w:name w:val="Paragraph 5"/>
    <w:basedOn w:val="BodyText0"/>
    <w:next w:val="Normal"/>
    <w:pPr>
      <w:tabs>
        <w:tab w:val="left" w:pos="360"/>
      </w:tabs>
      <w:spacing w:after="240" w:line="240" w:lineRule="atLeast"/>
    </w:pPr>
    <w:rPr>
      <w:rFonts w:ascii="Arial" w:hAnsi="Arial" w:cs="Arial"/>
      <w:sz w:val="21"/>
      <w:szCs w:val="21"/>
    </w:rPr>
  </w:style>
  <w:style w:type="paragraph" w:customStyle="1" w:styleId="Paragraph6">
    <w:name w:val="Paragraph 6"/>
    <w:basedOn w:val="BodyText0"/>
    <w:next w:val="Normal"/>
    <w:pPr>
      <w:tabs>
        <w:tab w:val="left" w:pos="360"/>
      </w:tabs>
      <w:spacing w:after="240" w:line="240" w:lineRule="atLeast"/>
    </w:pPr>
    <w:rPr>
      <w:rFonts w:ascii="Arial" w:hAnsi="Arial" w:cs="Arial"/>
      <w:sz w:val="21"/>
      <w:szCs w:val="21"/>
    </w:rPr>
  </w:style>
  <w:style w:type="paragraph" w:customStyle="1" w:styleId="RestartNumbering">
    <w:name w:val="Restart Numbering"/>
    <w:basedOn w:val="Normal"/>
    <w:pPr>
      <w:spacing w:line="276" w:lineRule="auto"/>
    </w:pPr>
    <w:rPr>
      <w:rFonts w:ascii="Arial" w:eastAsia="Calibri" w:hAnsi="Arial"/>
      <w:vanish/>
      <w:color w:val="00B050"/>
      <w:sz w:val="21"/>
      <w:szCs w:val="22"/>
      <w:lang w:val="en-GB"/>
    </w:rPr>
  </w:style>
  <w:style w:type="paragraph" w:customStyle="1" w:styleId="TableParagraph">
    <w:name w:val="Table Paragraph"/>
    <w:basedOn w:val="Normal"/>
    <w:pPr>
      <w:widowControl w:val="0"/>
    </w:pPr>
    <w:rPr>
      <w:rFonts w:ascii="Calibri" w:eastAsia="Calibri" w:hAnsi="Calibri"/>
      <w:sz w:val="22"/>
      <w:szCs w:val="22"/>
      <w:lang w:val="en-US"/>
    </w:rPr>
  </w:style>
  <w:style w:type="paragraph" w:customStyle="1" w:styleId="InvestmentWill5">
    <w:name w:val="Investment_Will_5"/>
    <w:basedOn w:val="Normal"/>
    <w:next w:val="Normal"/>
    <w:pPr>
      <w:numPr>
        <w:numId w:val="5"/>
      </w:numPr>
      <w:tabs>
        <w:tab w:val="left" w:pos="3600"/>
      </w:tabs>
      <w:spacing w:after="120"/>
      <w:ind w:left="3600" w:hanging="360"/>
    </w:pPr>
    <w:rPr>
      <w:rFonts w:ascii="Arial" w:eastAsia="Calibri" w:hAnsi="Arial"/>
      <w:sz w:val="22"/>
      <w:szCs w:val="22"/>
      <w:lang w:val="en-CA"/>
    </w:rPr>
  </w:style>
  <w:style w:type="paragraph" w:customStyle="1" w:styleId="InvestmentWill4">
    <w:name w:val="Investment_Will_4"/>
    <w:basedOn w:val="Normal"/>
    <w:next w:val="Normal"/>
    <w:pPr>
      <w:numPr>
        <w:numId w:val="5"/>
      </w:numPr>
      <w:tabs>
        <w:tab w:val="left" w:pos="2880"/>
      </w:tabs>
      <w:spacing w:after="120"/>
      <w:ind w:left="2880"/>
      <w:contextualSpacing/>
      <w:jc w:val="both"/>
    </w:pPr>
    <w:rPr>
      <w:rFonts w:ascii="Arial" w:eastAsia="Calibri" w:hAnsi="Arial"/>
      <w:sz w:val="22"/>
      <w:szCs w:val="22"/>
      <w:lang w:val="en-CA"/>
    </w:rPr>
  </w:style>
  <w:style w:type="paragraph" w:customStyle="1" w:styleId="InvestmentWill3">
    <w:name w:val="Investment_Will_3"/>
    <w:basedOn w:val="Normal"/>
    <w:next w:val="Normal"/>
    <w:pPr>
      <w:numPr>
        <w:numId w:val="5"/>
      </w:numPr>
      <w:spacing w:after="120"/>
      <w:ind w:left="2160" w:hanging="360"/>
      <w:jc w:val="both"/>
    </w:pPr>
    <w:rPr>
      <w:rFonts w:ascii="Calibri" w:eastAsia="Calibri" w:hAnsi="Calibri"/>
      <w:sz w:val="20"/>
      <w:szCs w:val="22"/>
      <w:lang w:val="en-CA"/>
    </w:rPr>
  </w:style>
  <w:style w:type="paragraph" w:customStyle="1" w:styleId="InvestmentWill2">
    <w:name w:val="Investment_Will_2"/>
    <w:basedOn w:val="Normal"/>
    <w:next w:val="Normal"/>
    <w:pPr>
      <w:numPr>
        <w:numId w:val="5"/>
      </w:numPr>
      <w:spacing w:after="120"/>
      <w:jc w:val="both"/>
    </w:pPr>
    <w:rPr>
      <w:rFonts w:ascii="Calibri" w:hAnsi="Calibri" w:cs="Calibri"/>
      <w:sz w:val="20"/>
      <w:szCs w:val="20"/>
      <w:lang w:val="en-CA"/>
    </w:rPr>
  </w:style>
  <w:style w:type="paragraph" w:customStyle="1" w:styleId="InvestmentWill1">
    <w:name w:val="Investment_Will_1"/>
    <w:basedOn w:val="Normal"/>
    <w:next w:val="Normal"/>
    <w:pPr>
      <w:keepNext/>
      <w:numPr>
        <w:numId w:val="5"/>
      </w:numPr>
      <w:spacing w:after="120"/>
      <w:ind w:left="720" w:hanging="360"/>
      <w:jc w:val="both"/>
    </w:pPr>
    <w:rPr>
      <w:rFonts w:ascii="Calibri" w:eastAsia="Calibri" w:hAnsi="Calibri"/>
      <w:sz w:val="20"/>
      <w:szCs w:val="22"/>
      <w:lang w:val="en-CA"/>
    </w:rPr>
  </w:style>
  <w:style w:type="paragraph" w:customStyle="1" w:styleId="Beschriftung1">
    <w:name w:val="Beschriftung1"/>
    <w:basedOn w:val="Normal"/>
    <w:next w:val="Normal"/>
    <w:pPr>
      <w:numPr>
        <w:numId w:val="13"/>
      </w:numPr>
      <w:tabs>
        <w:tab w:val="left" w:pos="720"/>
      </w:tabs>
      <w:spacing w:before="240"/>
      <w:jc w:val="both"/>
    </w:pPr>
    <w:rPr>
      <w:rFonts w:ascii="Arial" w:hAnsi="Arial" w:cs="Arial"/>
      <w:b/>
      <w:bCs/>
      <w:smallCaps/>
      <w:sz w:val="20"/>
      <w:lang w:val="en-GB"/>
    </w:rPr>
  </w:style>
  <w:style w:type="paragraph" w:customStyle="1" w:styleId="Text1">
    <w:name w:val="Text 1"/>
    <w:basedOn w:val="Normal"/>
    <w:pPr>
      <w:spacing w:after="240"/>
      <w:ind w:left="482"/>
      <w:jc w:val="both"/>
    </w:pPr>
    <w:rPr>
      <w:szCs w:val="20"/>
      <w:lang w:val="en-GB"/>
    </w:rPr>
  </w:style>
  <w:style w:type="paragraph" w:customStyle="1" w:styleId="Point0">
    <w:name w:val="Point 0"/>
    <w:basedOn w:val="Normal"/>
    <w:pPr>
      <w:spacing w:before="120" w:after="120"/>
      <w:ind w:left="850" w:hanging="850"/>
      <w:jc w:val="both"/>
    </w:pPr>
    <w:rPr>
      <w:rFonts w:eastAsia="Calibri"/>
      <w:szCs w:val="22"/>
      <w:lang w:val="en-GB"/>
    </w:rPr>
  </w:style>
  <w:style w:type="paragraph" w:customStyle="1" w:styleId="Point1">
    <w:name w:val="Point 1"/>
    <w:basedOn w:val="Normal"/>
    <w:pPr>
      <w:spacing w:before="120" w:after="120"/>
      <w:ind w:left="1417" w:hanging="567"/>
      <w:jc w:val="both"/>
    </w:pPr>
    <w:rPr>
      <w:rFonts w:eastAsia="Calibri"/>
      <w:szCs w:val="22"/>
      <w:lang w:val="en-GB"/>
    </w:rPr>
  </w:style>
  <w:style w:type="paragraph" w:customStyle="1" w:styleId="ManualNumPar1">
    <w:name w:val="Manual NumPar 1"/>
    <w:basedOn w:val="Normal"/>
    <w:next w:val="Text1"/>
    <w:pPr>
      <w:spacing w:before="120" w:after="120"/>
      <w:ind w:left="850" w:hanging="850"/>
      <w:jc w:val="both"/>
    </w:pPr>
    <w:rPr>
      <w:rFonts w:eastAsia="Calibri"/>
      <w:szCs w:val="22"/>
      <w:lang w:val="en-GB"/>
    </w:rPr>
  </w:style>
  <w:style w:type="paragraph" w:customStyle="1" w:styleId="Annexetitre">
    <w:name w:val="Annexe titre"/>
    <w:basedOn w:val="Normal"/>
    <w:next w:val="Normal"/>
    <w:pPr>
      <w:spacing w:before="120" w:after="120"/>
      <w:jc w:val="center"/>
    </w:pPr>
    <w:rPr>
      <w:rFonts w:eastAsia="Calibri"/>
      <w:b/>
      <w:szCs w:val="22"/>
      <w:u w:val="single"/>
      <w:lang w:val="en-GB"/>
    </w:rPr>
  </w:style>
  <w:style w:type="paragraph" w:customStyle="1" w:styleId="Titrearticle">
    <w:name w:val="Titre article"/>
    <w:basedOn w:val="Normal"/>
    <w:next w:val="Normal"/>
    <w:pPr>
      <w:keepNext/>
      <w:spacing w:before="360" w:after="120"/>
      <w:jc w:val="center"/>
    </w:pPr>
    <w:rPr>
      <w:rFonts w:eastAsia="Calibri"/>
      <w:i/>
      <w:szCs w:val="22"/>
      <w:lang w:val="en-GB"/>
    </w:rPr>
  </w:style>
  <w:style w:type="paragraph" w:styleId="ListParagraph">
    <w:name w:val="List Paragraph"/>
    <w:basedOn w:val="Normal"/>
    <w:uiPriority w:val="1"/>
    <w:qFormat/>
    <w:pPr>
      <w:widowControl w:val="0"/>
      <w:autoSpaceDE w:val="0"/>
      <w:ind w:left="1042" w:hanging="720"/>
      <w:jc w:val="both"/>
    </w:pPr>
    <w:rPr>
      <w:rFonts w:ascii="Verdana" w:eastAsia="Verdana" w:hAnsi="Verdana" w:cs="Verdana"/>
      <w:sz w:val="22"/>
      <w:szCs w:val="22"/>
      <w:lang w:val="en-US"/>
    </w:rPr>
  </w:style>
  <w:style w:type="paragraph" w:styleId="Revision">
    <w:name w:val="Revision"/>
    <w:pPr>
      <w:suppressAutoHyphens/>
    </w:pPr>
    <w:rPr>
      <w:sz w:val="24"/>
      <w:szCs w:val="24"/>
      <w:lang w:val="de-DE" w:eastAsia="zh-CN"/>
    </w:rPr>
  </w:style>
  <w:style w:type="paragraph" w:customStyle="1" w:styleId="BodyA">
    <w:name w:val="Body A"/>
    <w:pPr>
      <w:pBdr>
        <w:top w:val="none" w:sz="0" w:space="0" w:color="000000"/>
        <w:left w:val="none" w:sz="0" w:space="0" w:color="000000"/>
        <w:bottom w:val="none" w:sz="0" w:space="0" w:color="000000"/>
        <w:right w:val="none" w:sz="0" w:space="0" w:color="000000"/>
      </w:pBdr>
      <w:suppressAutoHyphens/>
    </w:pPr>
    <w:rPr>
      <w:color w:val="000000"/>
      <w:sz w:val="24"/>
      <w:szCs w:val="24"/>
      <w:lang w:eastAsia="zh-CN"/>
    </w:rPr>
  </w:style>
  <w:style w:type="paragraph" w:customStyle="1" w:styleId="Normal12">
    <w:name w:val="Normal +12"/>
    <w:basedOn w:val="Normal"/>
    <w:pPr>
      <w:spacing w:before="240" w:after="240" w:line="260" w:lineRule="atLeast"/>
      <w:jc w:val="both"/>
    </w:pPr>
    <w:rPr>
      <w:rFonts w:ascii="Arial" w:eastAsia="Calibri" w:hAnsi="Arial" w:cs="Arial"/>
      <w:sz w:val="20"/>
      <w:szCs w:val="22"/>
      <w:lang w:val="en-G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Kommentartext2">
    <w:name w:val="Kommentartext2"/>
    <w:basedOn w:val="Normal"/>
    <w:rPr>
      <w:sz w:val="20"/>
      <w:szCs w:val="20"/>
    </w:rPr>
  </w:style>
  <w:style w:type="character" w:styleId="CommentReference">
    <w:name w:val="annotation reference"/>
    <w:uiPriority w:val="99"/>
    <w:semiHidden/>
    <w:rsid w:val="00EB5620"/>
    <w:rPr>
      <w:sz w:val="16"/>
      <w:szCs w:val="16"/>
    </w:rPr>
  </w:style>
  <w:style w:type="character" w:customStyle="1" w:styleId="BodyChar">
    <w:name w:val="Body Char"/>
    <w:link w:val="Body"/>
    <w:locked/>
    <w:rsid w:val="00EB5620"/>
    <w:rPr>
      <w:rFonts w:ascii="Verdana" w:hAnsi="Verdana"/>
    </w:rPr>
  </w:style>
  <w:style w:type="paragraph" w:customStyle="1" w:styleId="Body">
    <w:name w:val="Body"/>
    <w:basedOn w:val="Normal"/>
    <w:link w:val="BodyChar"/>
    <w:qFormat/>
    <w:rsid w:val="00EB5620"/>
    <w:pPr>
      <w:numPr>
        <w:numId w:val="20"/>
      </w:numPr>
      <w:tabs>
        <w:tab w:val="left" w:pos="1843"/>
        <w:tab w:val="left" w:pos="3119"/>
        <w:tab w:val="left" w:pos="4253"/>
      </w:tabs>
      <w:suppressAutoHyphens w:val="0"/>
      <w:spacing w:before="120" w:after="120" w:line="276" w:lineRule="auto"/>
    </w:pPr>
    <w:rPr>
      <w:rFonts w:ascii="Verdana" w:hAnsi="Verdana"/>
      <w:sz w:val="20"/>
      <w:szCs w:val="20"/>
      <w:lang w:eastAsia="de-DE"/>
    </w:rPr>
  </w:style>
  <w:style w:type="paragraph" w:customStyle="1" w:styleId="aDefinition">
    <w:name w:val="(a) Definition"/>
    <w:basedOn w:val="Body"/>
    <w:qFormat/>
    <w:rsid w:val="00EB5620"/>
    <w:pPr>
      <w:numPr>
        <w:ilvl w:val="1"/>
      </w:numPr>
      <w:tabs>
        <w:tab w:val="clear" w:pos="851"/>
        <w:tab w:val="clear" w:pos="1843"/>
        <w:tab w:val="clear" w:pos="3119"/>
        <w:tab w:val="clear" w:pos="4253"/>
        <w:tab w:val="num" w:pos="360"/>
        <w:tab w:val="num" w:pos="720"/>
      </w:tabs>
      <w:ind w:left="1080" w:hanging="360"/>
    </w:pPr>
    <w:rPr>
      <w:rFonts w:eastAsia="DengXian" w:cs="Arial"/>
    </w:rPr>
  </w:style>
  <w:style w:type="paragraph" w:customStyle="1" w:styleId="iDefinition">
    <w:name w:val="(i) Definition"/>
    <w:basedOn w:val="Body"/>
    <w:qFormat/>
    <w:rsid w:val="00EB5620"/>
    <w:pPr>
      <w:numPr>
        <w:ilvl w:val="2"/>
      </w:numPr>
      <w:tabs>
        <w:tab w:val="clear" w:pos="1843"/>
        <w:tab w:val="clear" w:pos="3119"/>
        <w:tab w:val="clear" w:pos="4253"/>
        <w:tab w:val="num" w:pos="360"/>
        <w:tab w:val="num" w:pos="720"/>
      </w:tabs>
      <w:ind w:left="1800" w:hanging="360"/>
    </w:pPr>
    <w:rPr>
      <w:rFonts w:eastAsia="DengXian" w:cs="Arial"/>
    </w:rPr>
  </w:style>
  <w:style w:type="paragraph" w:customStyle="1" w:styleId="Bodyindent">
    <w:name w:val="Body indent"/>
    <w:basedOn w:val="Body"/>
    <w:link w:val="BodyindentChar"/>
    <w:qFormat/>
    <w:rsid w:val="00EB5620"/>
    <w:pPr>
      <w:numPr>
        <w:numId w:val="0"/>
      </w:numPr>
      <w:ind w:left="261" w:hanging="261"/>
    </w:pPr>
    <w:rPr>
      <w:szCs w:val="18"/>
      <w:lang w:eastAsia="zh-CN"/>
    </w:rPr>
  </w:style>
  <w:style w:type="character" w:customStyle="1" w:styleId="BodyindentChar">
    <w:name w:val="Body indent Char"/>
    <w:link w:val="Bodyindent"/>
    <w:rsid w:val="00EB5620"/>
    <w:rPr>
      <w:rFonts w:ascii="Verdana" w:hAnsi="Verdana"/>
      <w:szCs w:val="18"/>
      <w:lang w:eastAsia="zh-CN"/>
    </w:rPr>
  </w:style>
  <w:style w:type="paragraph" w:customStyle="1" w:styleId="NormalNumbered">
    <w:name w:val="Normal Numbered"/>
    <w:basedOn w:val="Normal"/>
    <w:link w:val="NormalNumberedChar"/>
    <w:qFormat/>
    <w:rsid w:val="00EB5620"/>
    <w:pPr>
      <w:numPr>
        <w:numId w:val="23"/>
      </w:numPr>
      <w:suppressAutoHyphens w:val="0"/>
      <w:spacing w:after="200" w:line="276" w:lineRule="auto"/>
      <w:ind w:left="454" w:hanging="454"/>
    </w:pPr>
    <w:rPr>
      <w:rFonts w:ascii="Verdana" w:eastAsia="Verdana" w:hAnsi="Verdana" w:cs="Verdana"/>
      <w:color w:val="000000"/>
      <w:sz w:val="22"/>
      <w:szCs w:val="22"/>
      <w:lang w:val="en-GB" w:eastAsia="en-GB"/>
    </w:rPr>
  </w:style>
  <w:style w:type="character" w:customStyle="1" w:styleId="NormalNumberedChar">
    <w:name w:val="Normal Numbered Char"/>
    <w:link w:val="NormalNumbered"/>
    <w:rsid w:val="00EB5620"/>
    <w:rPr>
      <w:rFonts w:ascii="Verdana" w:eastAsia="Verdana" w:hAnsi="Verdana" w:cs="Verdana"/>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as"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s://eur-lex.europa.eu/legal-content/EN/TXT/HTML/?uri=CELEX:32021D0914&amp;from=EN/"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7708</Words>
  <Characters>43936</Characters>
  <Application>Microsoft Office Word</Application>
  <DocSecurity>8</DocSecurity>
  <Lines>366</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Data Processing Agreement with Model Clauses</vt:lpstr>
      <vt:lpstr>Data Processing Agreement with Model Clauses</vt:lpstr>
    </vt:vector>
  </TitlesOfParts>
  <Company/>
  <LinksUpToDate>false</LinksUpToDate>
  <CharactersWithSpaces>51541</CharactersWithSpaces>
  <SharedDoc>false</SharedDoc>
  <HLinks>
    <vt:vector size="12" baseType="variant">
      <vt:variant>
        <vt:i4>7536737</vt:i4>
      </vt:variant>
      <vt:variant>
        <vt:i4>3</vt:i4>
      </vt:variant>
      <vt:variant>
        <vt:i4>0</vt:i4>
      </vt:variant>
      <vt:variant>
        <vt:i4>5</vt:i4>
      </vt:variant>
      <vt:variant>
        <vt:lpwstr>as</vt:lpwstr>
      </vt:variant>
      <vt:variant>
        <vt:lpwstr/>
      </vt:variant>
      <vt:variant>
        <vt:i4>3080312</vt:i4>
      </vt:variant>
      <vt:variant>
        <vt:i4>0</vt:i4>
      </vt:variant>
      <vt:variant>
        <vt:i4>0</vt:i4>
      </vt:variant>
      <vt:variant>
        <vt:i4>5</vt:i4>
      </vt:variant>
      <vt:variant>
        <vt:lpwstr>https://eur-lex.europa.eu/legal-content/EN/TXT/HTML/?uri=CELEX:32021D0914&amp;from=EN/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Processing Agreement with Model Clauses</dc:title>
  <dc:subject/>
  <dc:creator/>
  <cp:keywords/>
  <cp:lastModifiedBy/>
  <cp:revision>1</cp:revision>
  <cp:lastPrinted>2007-11-15T15:45:00Z</cp:lastPrinted>
  <dcterms:created xsi:type="dcterms:W3CDTF">2023-04-18T08:49:00Z</dcterms:created>
  <dcterms:modified xsi:type="dcterms:W3CDTF">2023-04-18T08:49:00Z</dcterms:modified>
</cp:coreProperties>
</file>